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A70C" w14:textId="72526812" w:rsidR="00907851" w:rsidRPr="00BB1BC8" w:rsidRDefault="007C59DA" w:rsidP="000836A7">
      <w:pPr>
        <w:spacing w:before="240" w:after="120" w:line="240" w:lineRule="auto"/>
        <w:ind w:firstLine="709"/>
        <w:jc w:val="center"/>
        <w:rPr>
          <w:rFonts w:ascii="Arial" w:hAnsi="Arial" w:cs="Arial"/>
          <w:b/>
          <w:color w:val="C00000"/>
          <w:sz w:val="44"/>
          <w:szCs w:val="24"/>
        </w:rPr>
      </w:pPr>
      <w:bookmarkStart w:id="0" w:name="_GoBack"/>
      <w:bookmarkEnd w:id="0"/>
      <w:r>
        <w:rPr>
          <w:rFonts w:ascii="Times New Roman" w:hAnsi="Times New Roman"/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b/>
          <w:color w:val="C00000"/>
          <w:sz w:val="44"/>
          <w:szCs w:val="24"/>
        </w:rPr>
        <w:t xml:space="preserve">Strategija grupe Generali </w:t>
      </w:r>
    </w:p>
    <w:p w14:paraId="40EB4860" w14:textId="3D96567F" w:rsidR="00FC4B7E" w:rsidRPr="00BB1BC8" w:rsidRDefault="003E13EE" w:rsidP="000836A7">
      <w:pPr>
        <w:spacing w:before="240" w:after="120" w:line="240" w:lineRule="auto"/>
        <w:ind w:firstLine="709"/>
        <w:jc w:val="center"/>
        <w:rPr>
          <w:rFonts w:ascii="Arial" w:hAnsi="Arial" w:cs="Arial"/>
          <w:b/>
          <w:color w:val="C00000"/>
          <w:sz w:val="44"/>
          <w:szCs w:val="24"/>
        </w:rPr>
      </w:pPr>
      <w:r>
        <w:rPr>
          <w:rFonts w:ascii="Arial" w:hAnsi="Arial"/>
          <w:b/>
          <w:color w:val="C00000"/>
          <w:sz w:val="44"/>
          <w:szCs w:val="24"/>
        </w:rPr>
        <w:t>u vezi s klimatskim promjenama</w:t>
      </w:r>
    </w:p>
    <w:p w14:paraId="1D445E93" w14:textId="77777777" w:rsidR="00B24224" w:rsidRPr="00BB1BC8" w:rsidRDefault="00B24224" w:rsidP="000836A7">
      <w:pPr>
        <w:spacing w:before="240" w:after="120" w:line="240" w:lineRule="auto"/>
        <w:rPr>
          <w:rFonts w:ascii="Arial" w:hAnsi="Arial" w:cs="Arial"/>
          <w:b/>
          <w:color w:val="C00000"/>
          <w:sz w:val="16"/>
          <w:szCs w:val="16"/>
          <w:lang w:val="en-US"/>
        </w:rPr>
      </w:pPr>
    </w:p>
    <w:p w14:paraId="62ECDCC1" w14:textId="32AEF743" w:rsidR="007101E0" w:rsidRPr="00BB1BC8" w:rsidRDefault="003E13EE" w:rsidP="000836A7">
      <w:pPr>
        <w:spacing w:before="240" w:after="120" w:line="240" w:lineRule="auto"/>
        <w:rPr>
          <w:rFonts w:ascii="Arial" w:hAnsi="Arial" w:cs="Arial"/>
          <w:b/>
          <w:color w:val="C00000"/>
          <w:sz w:val="36"/>
          <w:szCs w:val="24"/>
        </w:rPr>
      </w:pPr>
      <w:r>
        <w:rPr>
          <w:rFonts w:ascii="Arial" w:hAnsi="Arial"/>
          <w:b/>
          <w:color w:val="C00000"/>
          <w:sz w:val="36"/>
          <w:szCs w:val="24"/>
        </w:rPr>
        <w:t xml:space="preserve">Tehnička napomena </w:t>
      </w:r>
    </w:p>
    <w:p w14:paraId="33DDD086" w14:textId="4245A63C" w:rsidR="00D6104E" w:rsidRPr="00BB1BC8" w:rsidRDefault="003E13EE" w:rsidP="000836A7">
      <w:pPr>
        <w:spacing w:before="240" w:after="120" w:line="240" w:lineRule="auto"/>
        <w:rPr>
          <w:rFonts w:ascii="Arial" w:hAnsi="Arial" w:cs="Arial"/>
          <w:color w:val="C00000"/>
          <w:szCs w:val="24"/>
        </w:rPr>
      </w:pPr>
      <w:r>
        <w:rPr>
          <w:rFonts w:ascii="Arial" w:hAnsi="Arial"/>
          <w:color w:val="C00000"/>
          <w:szCs w:val="24"/>
        </w:rPr>
        <w:t>Ažurirano u lipnju 2021.</w:t>
      </w:r>
    </w:p>
    <w:p w14:paraId="5F957A8C" w14:textId="77777777" w:rsidR="007101E0" w:rsidRPr="00BB1BC8" w:rsidRDefault="007101E0" w:rsidP="000836A7">
      <w:pPr>
        <w:spacing w:before="240" w:after="120" w:line="240" w:lineRule="auto"/>
        <w:jc w:val="center"/>
        <w:rPr>
          <w:rFonts w:ascii="Arial" w:hAnsi="Arial" w:cs="Arial"/>
          <w:color w:val="C00000"/>
          <w:sz w:val="28"/>
          <w:szCs w:val="24"/>
          <w:lang w:val="en-US"/>
        </w:rPr>
      </w:pPr>
    </w:p>
    <w:p w14:paraId="6D40F9FA" w14:textId="56B69CA9" w:rsidR="000836A7" w:rsidRPr="00F80011" w:rsidRDefault="00445D4D" w:rsidP="000836A7">
      <w:pPr>
        <w:spacing w:before="240" w:after="120" w:line="240" w:lineRule="auto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/>
          <w:color w:val="C00000"/>
          <w:sz w:val="32"/>
          <w:szCs w:val="32"/>
        </w:rPr>
        <w:t>Osiguranje, ulaganje i inovacije za društvo s niskim emisijama ugljika</w:t>
      </w:r>
    </w:p>
    <w:p w14:paraId="69B23271" w14:textId="101B557F" w:rsidR="003E13EE" w:rsidRDefault="003E13EE" w:rsidP="00AF6BA5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Dana 21. veljače 2018. godine Upravni odbor </w:t>
      </w:r>
      <w:proofErr w:type="spellStart"/>
      <w:r>
        <w:rPr>
          <w:rFonts w:ascii="Arial" w:hAnsi="Arial"/>
          <w:sz w:val="24"/>
          <w:szCs w:val="24"/>
        </w:rPr>
        <w:t>Assicurazioni</w:t>
      </w:r>
      <w:proofErr w:type="spellEnd"/>
      <w:r>
        <w:rPr>
          <w:rFonts w:ascii="Arial" w:hAnsi="Arial"/>
          <w:sz w:val="24"/>
          <w:szCs w:val="24"/>
        </w:rPr>
        <w:t xml:space="preserve"> Generali </w:t>
      </w:r>
      <w:proofErr w:type="spellStart"/>
      <w:r>
        <w:rPr>
          <w:rFonts w:ascii="Arial" w:hAnsi="Arial"/>
          <w:sz w:val="24"/>
          <w:szCs w:val="24"/>
        </w:rPr>
        <w:t>S.p.A</w:t>
      </w:r>
      <w:proofErr w:type="spellEnd"/>
      <w:r>
        <w:rPr>
          <w:rFonts w:ascii="Arial" w:hAnsi="Arial"/>
          <w:sz w:val="24"/>
          <w:szCs w:val="24"/>
        </w:rPr>
        <w:t>. odobrio je strategiju Grupe u vezi s klimatskim promjenama, usvojivši značajne mjere za smanjenje emisija ugljika kod ulaganja i ugovaranja, a to su temeljne djelatnosti Grupe. Od tada, u ovom se dokumentu – koji se redovito ažurira kako bi se nastavila naša borba protiv klimatskih promjena – detaljno opisuje način na koji se strategija provodi kako bi se olakšao prijelaz u budućnost s niskim emisijama ugljika.</w:t>
      </w:r>
    </w:p>
    <w:p w14:paraId="2494AAD8" w14:textId="0345EE8C" w:rsidR="00F80011" w:rsidRDefault="00C663B8" w:rsidP="000836A7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ACD800" wp14:editId="57F8E782">
                <wp:simplePos x="0" y="0"/>
                <wp:positionH relativeFrom="page">
                  <wp:align>left</wp:align>
                </wp:positionH>
                <wp:positionV relativeFrom="paragraph">
                  <wp:posOffset>280670</wp:posOffset>
                </wp:positionV>
                <wp:extent cx="7558335" cy="4241800"/>
                <wp:effectExtent l="0" t="0" r="508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335" cy="4241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ECD7AC" id="Rectangle 3" o:spid="_x0000_s1026" style="position:absolute;margin-left:0;margin-top:22.1pt;width:595.15pt;height:334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" fillcolor="#e7e6e6 [3214]" stroked="f" strokeweight="1pt">
                <w10:wrap anchorx="page"/>
              </v:rect>
            </w:pict>
          </mc:Fallback>
        </mc:AlternateContent>
      </w:r>
    </w:p>
    <w:p w14:paraId="29B752C0" w14:textId="0234460D" w:rsidR="000836A7" w:rsidRPr="00762D3E" w:rsidRDefault="000836A7" w:rsidP="000836A7">
      <w:pPr>
        <w:pStyle w:val="ListParagraph"/>
        <w:numPr>
          <w:ilvl w:val="0"/>
          <w:numId w:val="9"/>
        </w:numPr>
        <w:spacing w:before="240" w:after="120" w:line="240" w:lineRule="auto"/>
        <w:ind w:left="313" w:right="454" w:hanging="284"/>
        <w:contextualSpacing w:val="0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/>
          <w:color w:val="C00000"/>
          <w:sz w:val="32"/>
          <w:szCs w:val="32"/>
        </w:rPr>
        <w:t>Ulaganja vlasnika imovine</w:t>
      </w:r>
    </w:p>
    <w:p w14:paraId="186047B5" w14:textId="2AF69FCC" w:rsidR="0074170D" w:rsidRPr="0074170D" w:rsidRDefault="0074170D" w:rsidP="00AF6BA5">
      <w:pPr>
        <w:pStyle w:val="ListParagraph"/>
        <w:numPr>
          <w:ilvl w:val="0"/>
          <w:numId w:val="7"/>
        </w:numPr>
        <w:ind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Godine 2021. Generali je postavio cilj od 8,5 do 9,5 milijardi eura novih zelenih i održivih ulaganja do 2025. godine, a početnom točkom smatrao se kraj 2020. godine. Ovaj je cilj u skladu s prethodnim ciljem od 4,5 milijardi eura između 2019. i 2021. godine, koji je unaprijed postignut.</w:t>
      </w:r>
    </w:p>
    <w:p w14:paraId="6A505A50" w14:textId="147C15CD" w:rsidR="000836A7" w:rsidRPr="00392579" w:rsidRDefault="000836A7" w:rsidP="00AF6BA5">
      <w:pPr>
        <w:pStyle w:val="ListParagraph"/>
        <w:numPr>
          <w:ilvl w:val="0"/>
          <w:numId w:val="7"/>
        </w:numPr>
        <w:spacing w:before="240" w:after="120" w:line="240" w:lineRule="auto"/>
        <w:ind w:right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Izuzeće od bilo kakvih novih ulaganja i progresivna dezinvesticija društava povezanih s ugljenom u portfelju Generalija. To će se postići primjenom sve restriktivnijih kriterija za izuzeće, koji su dodatno povećani ovim izdanjem tehničke napomene. Krajnji je cilj potpuno isključiti izdavatelje koji posluju u sektoru termalnog ugljena do 2030. u zemljama OECD-a, a do 2040. godine u ostatku svijeta.</w:t>
      </w:r>
    </w:p>
    <w:p w14:paraId="27A5AAEC" w14:textId="460F6DE8" w:rsidR="000836A7" w:rsidRDefault="000836A7" w:rsidP="00AF6BA5">
      <w:pPr>
        <w:pStyle w:val="ListParagraph"/>
        <w:numPr>
          <w:ilvl w:val="0"/>
          <w:numId w:val="7"/>
        </w:numPr>
        <w:spacing w:before="240" w:after="120" w:line="240" w:lineRule="auto"/>
        <w:ind w:right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Izuzeće od ulaganja u izdavatelje koji proizvode nekonvencionalna fosilna goriva iz katranskog pijeska.  </w:t>
      </w:r>
    </w:p>
    <w:p w14:paraId="199ADCE1" w14:textId="2721148C" w:rsidR="000836A7" w:rsidRDefault="000836A7" w:rsidP="00AF6BA5">
      <w:pPr>
        <w:pStyle w:val="ListParagraph"/>
        <w:numPr>
          <w:ilvl w:val="0"/>
          <w:numId w:val="7"/>
        </w:numPr>
        <w:spacing w:before="240" w:after="120" w:line="240" w:lineRule="auto"/>
        <w:ind w:right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Postupna </w:t>
      </w:r>
      <w:proofErr w:type="spellStart"/>
      <w:r>
        <w:rPr>
          <w:rFonts w:ascii="Arial" w:hAnsi="Arial"/>
          <w:sz w:val="24"/>
          <w:szCs w:val="24"/>
        </w:rPr>
        <w:t>dekarbonizacija</w:t>
      </w:r>
      <w:proofErr w:type="spellEnd"/>
      <w:r>
        <w:rPr>
          <w:rFonts w:ascii="Arial" w:hAnsi="Arial"/>
          <w:sz w:val="24"/>
          <w:szCs w:val="24"/>
        </w:rPr>
        <w:t xml:space="preserve"> portfelja izravnih ulaganja radi postizanja ugljične neutralnosti do 2050. godine. Ova obveza u skladu je s ciljem Pariškog sporazuma da se globalno zagrijavanje ograniči na 1,5 °C iznad predindustrijske razine. Kao srednji cilj za 2025. godinu, Generali će smanjiti emisije ugljika za portfelj poduzeća (korporativne obveznice, uvršteni vlasnički vrijednosni papiri) </w:t>
      </w:r>
      <w:r>
        <w:rPr>
          <w:rFonts w:ascii="Arial" w:hAnsi="Arial"/>
          <w:sz w:val="24"/>
          <w:szCs w:val="24"/>
        </w:rPr>
        <w:lastRenderedPageBreak/>
        <w:t>za 25 % u odnosu na početnu 2019. godinu i uskladiti portfelj imovine na put od 1,5 °C.</w:t>
      </w:r>
    </w:p>
    <w:p w14:paraId="37AA4419" w14:textId="11D7C102" w:rsidR="00CD25D9" w:rsidRDefault="00CD25D9" w:rsidP="00CD25D9">
      <w:pPr>
        <w:pStyle w:val="ListParagraph"/>
        <w:spacing w:before="240" w:after="120" w:line="240" w:lineRule="auto"/>
        <w:ind w:right="45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6956DDB8" w14:textId="400A70E0" w:rsidR="00A475E6" w:rsidRPr="00C42012" w:rsidRDefault="00A475E6" w:rsidP="00CD25D9">
      <w:pPr>
        <w:pStyle w:val="ListParagraph"/>
        <w:spacing w:before="240" w:after="120" w:line="240" w:lineRule="auto"/>
        <w:ind w:right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952A8A" wp14:editId="6FB1085D">
                <wp:simplePos x="0" y="0"/>
                <wp:positionH relativeFrom="page">
                  <wp:posOffset>0</wp:posOffset>
                </wp:positionH>
                <wp:positionV relativeFrom="paragraph">
                  <wp:posOffset>-149579</wp:posOffset>
                </wp:positionV>
                <wp:extent cx="7591425" cy="8760061"/>
                <wp:effectExtent l="0" t="0" r="9525" b="31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876006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D9DEE" id="Rectangle 24" o:spid="_x0000_s1026" style="position:absolute;margin-left:0;margin-top:-11.8pt;width:597.75pt;height:68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" fillcolor="#e7e6e6 [3214]" stroked="f" strokeweight="1pt">
                <w10:wrap anchorx="page"/>
              </v:rect>
            </w:pict>
          </mc:Fallback>
        </mc:AlternateContent>
      </w:r>
    </w:p>
    <w:p w14:paraId="73189C2A" w14:textId="5CFBB98E" w:rsidR="000836A7" w:rsidRPr="00762D3E" w:rsidRDefault="000836A7" w:rsidP="000836A7">
      <w:pPr>
        <w:pStyle w:val="ListParagraph"/>
        <w:numPr>
          <w:ilvl w:val="0"/>
          <w:numId w:val="9"/>
        </w:numPr>
        <w:spacing w:before="240" w:after="120" w:line="240" w:lineRule="auto"/>
        <w:ind w:left="313" w:right="454" w:hanging="284"/>
        <w:contextualSpacing w:val="0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/>
          <w:color w:val="C00000"/>
          <w:sz w:val="32"/>
          <w:szCs w:val="32"/>
        </w:rPr>
        <w:t xml:space="preserve">Preuzimanje rizika </w:t>
      </w:r>
    </w:p>
    <w:p w14:paraId="122BF5D1" w14:textId="47FD461A" w:rsidR="000836A7" w:rsidRDefault="000836A7" w:rsidP="000836A7">
      <w:pPr>
        <w:pStyle w:val="ListParagraph"/>
        <w:numPr>
          <w:ilvl w:val="0"/>
          <w:numId w:val="7"/>
        </w:numPr>
        <w:spacing w:before="240" w:after="120" w:line="240" w:lineRule="auto"/>
        <w:ind w:left="714" w:right="45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Stvaranje stručnog centra za razvijanje i razmjenu najboljih praksi za preuzimanje specifičnih rizika u sektoru obnovljive energije. </w:t>
      </w:r>
    </w:p>
    <w:p w14:paraId="3B81FE76" w14:textId="07EF1305" w:rsidR="000836A7" w:rsidRDefault="000836A7" w:rsidP="000836A7">
      <w:pPr>
        <w:pStyle w:val="ListParagraph"/>
        <w:numPr>
          <w:ilvl w:val="0"/>
          <w:numId w:val="7"/>
        </w:numPr>
        <w:spacing w:before="240" w:after="120" w:line="240" w:lineRule="auto"/>
        <w:ind w:left="709" w:right="45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Obvezivanje da se više neće osiguravati bilo kakva nova izgradnja rudnika ugljena ili termoelektrana na ugljen i da se više neće osiguravati postojeći rudnici ugljena ili termoelektrane na ugljen novih klijenata.</w:t>
      </w:r>
    </w:p>
    <w:p w14:paraId="050BBCCD" w14:textId="641E858B" w:rsidR="000836A7" w:rsidRPr="00FF7565" w:rsidRDefault="000836A7" w:rsidP="000836A7">
      <w:pPr>
        <w:pStyle w:val="ListParagraph"/>
        <w:numPr>
          <w:ilvl w:val="0"/>
          <w:numId w:val="7"/>
        </w:numPr>
        <w:spacing w:before="240" w:after="120" w:line="240" w:lineRule="auto"/>
        <w:ind w:left="714" w:right="45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Smanjenje minimalne trenutačne izloženosti sektoru termalnog ugljena kako bi se postigla nulta izloženost do 2038. godine.</w:t>
      </w:r>
    </w:p>
    <w:p w14:paraId="2E56C656" w14:textId="27408204" w:rsidR="000836A7" w:rsidRDefault="00416489" w:rsidP="000836A7">
      <w:pPr>
        <w:pStyle w:val="ListParagraph"/>
        <w:numPr>
          <w:ilvl w:val="0"/>
          <w:numId w:val="7"/>
        </w:numPr>
        <w:spacing w:before="240" w:after="120" w:line="240" w:lineRule="auto"/>
        <w:ind w:left="714" w:right="45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Daljnje obvezivanje da se više ne osiguravaju primarne sfere privrede nafte i plina. To uključuje obvezivanje da se više neće preuzimati rizici povezani s istraživanjem i proizvodnjom fosilnih goriva iz katranskog pijeska, iz naslaga škriljevca (nafte i plina) ili izvađenih u arktičkoj zoni, kako na kopnu, tako i na moru.</w:t>
      </w:r>
    </w:p>
    <w:p w14:paraId="52039E1E" w14:textId="77777777" w:rsidR="000836A7" w:rsidRPr="00CD4A1A" w:rsidRDefault="000836A7" w:rsidP="000836A7">
      <w:pPr>
        <w:pStyle w:val="ListParagraph"/>
        <w:numPr>
          <w:ilvl w:val="0"/>
          <w:numId w:val="9"/>
        </w:numPr>
        <w:spacing w:before="240" w:after="120" w:line="240" w:lineRule="auto"/>
        <w:ind w:left="313" w:right="454" w:hanging="284"/>
        <w:contextualSpacing w:val="0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/>
          <w:color w:val="C00000"/>
          <w:sz w:val="32"/>
          <w:szCs w:val="32"/>
        </w:rPr>
        <w:t>Angažiranje dionika i zagovaranje „pravedne tranzicije”</w:t>
      </w:r>
    </w:p>
    <w:p w14:paraId="2B09B6F0" w14:textId="24A667EE" w:rsidR="0074170D" w:rsidRDefault="0074170D" w:rsidP="0074170D">
      <w:pPr>
        <w:pStyle w:val="ListParagraph"/>
        <w:numPr>
          <w:ilvl w:val="0"/>
          <w:numId w:val="7"/>
        </w:numPr>
        <w:spacing w:after="60"/>
        <w:ind w:left="880" w:right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2025. godine angažiranje 20 ulagača koji intenzivno troše ugljik kako bi se utjecalo na stvarni svijet. </w:t>
      </w:r>
    </w:p>
    <w:p w14:paraId="7819D246" w14:textId="70C8A0DA" w:rsidR="000836A7" w:rsidRPr="00BB1BC8" w:rsidRDefault="00C11225" w:rsidP="000836A7">
      <w:pPr>
        <w:pStyle w:val="ListParagraph"/>
        <w:numPr>
          <w:ilvl w:val="0"/>
          <w:numId w:val="7"/>
        </w:numPr>
        <w:spacing w:before="240" w:after="120" w:line="240" w:lineRule="auto"/>
        <w:ind w:left="880" w:right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Zagovaranje pravedne tranzicije: u zemljama u kojima gospodarstvo i zapošljavanje uvelike ovise o sektoru ugljena, Generali će angažirati klijente i ulagače pod utjecajem ograničenja Grupe na ugljen u skladu s načelima „pravedne tranzicije”.</w:t>
      </w:r>
    </w:p>
    <w:p w14:paraId="7996E314" w14:textId="16F8C2E1" w:rsidR="000836A7" w:rsidRPr="00C24012" w:rsidRDefault="000836A7" w:rsidP="00C24012">
      <w:pPr>
        <w:pStyle w:val="ListParagraph"/>
        <w:numPr>
          <w:ilvl w:val="0"/>
          <w:numId w:val="7"/>
        </w:numPr>
        <w:spacing w:before="240" w:after="120" w:line="240" w:lineRule="auto"/>
        <w:ind w:left="880" w:right="45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Objavljivanje napretka takvog angažiranja i ažuriranje ovog procesa putem godišnjeg integriranog izvješća Grupe. </w:t>
      </w:r>
    </w:p>
    <w:p w14:paraId="2C926C81" w14:textId="335E6BF8" w:rsidR="000836A7" w:rsidRPr="00CD4A1A" w:rsidRDefault="00135AAF" w:rsidP="00135AAF">
      <w:pPr>
        <w:pStyle w:val="ListParagraph"/>
        <w:numPr>
          <w:ilvl w:val="0"/>
          <w:numId w:val="9"/>
        </w:numPr>
        <w:spacing w:before="240" w:after="120" w:line="240" w:lineRule="auto"/>
        <w:ind w:right="454"/>
        <w:contextualSpacing w:val="0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/>
          <w:color w:val="C00000"/>
          <w:sz w:val="32"/>
          <w:szCs w:val="32"/>
        </w:rPr>
        <w:t xml:space="preserve">Znanstveno utemeljena </w:t>
      </w:r>
      <w:proofErr w:type="spellStart"/>
      <w:r>
        <w:rPr>
          <w:rFonts w:ascii="Arial" w:hAnsi="Arial"/>
          <w:color w:val="C00000"/>
          <w:sz w:val="32"/>
          <w:szCs w:val="32"/>
        </w:rPr>
        <w:t>dekarbonizacija</w:t>
      </w:r>
      <w:proofErr w:type="spellEnd"/>
      <w:r>
        <w:rPr>
          <w:rFonts w:ascii="Arial" w:hAnsi="Arial"/>
          <w:color w:val="C00000"/>
          <w:sz w:val="32"/>
          <w:szCs w:val="32"/>
        </w:rPr>
        <w:t xml:space="preserve"> djelatnosti Grupe zbog čega Generali pozitivno utječe na klimatske promjene </w:t>
      </w:r>
    </w:p>
    <w:p w14:paraId="01BFCE03" w14:textId="5BCFBD62" w:rsidR="005915D6" w:rsidRPr="00416489" w:rsidRDefault="005915D6" w:rsidP="005915D6">
      <w:pPr>
        <w:pStyle w:val="ListParagraph"/>
        <w:numPr>
          <w:ilvl w:val="0"/>
          <w:numId w:val="7"/>
        </w:numPr>
        <w:spacing w:before="240" w:after="120" w:line="240" w:lineRule="auto"/>
        <w:ind w:left="880" w:right="454"/>
        <w:contextualSpacing w:val="0"/>
        <w:jc w:val="both"/>
        <w:rPr>
          <w:rFonts w:ascii="Arial" w:hAnsi="Arial" w:cs="Arial"/>
          <w:iCs/>
          <w:color w:val="000000" w:themeColor="text1"/>
          <w:kern w:val="24"/>
          <w:sz w:val="24"/>
        </w:rPr>
      </w:pPr>
      <w:r>
        <w:rPr>
          <w:rFonts w:ascii="Arial" w:hAnsi="Arial"/>
          <w:iCs/>
          <w:color w:val="000000" w:themeColor="text1"/>
          <w:sz w:val="24"/>
        </w:rPr>
        <w:t>Ambicija da do 2040. godine pozitivno utječe na klimatske promjene, sa srednjim ciljem postizanja klimatske neutralnosti do 2023. godine.</w:t>
      </w:r>
    </w:p>
    <w:p w14:paraId="6742E560" w14:textId="3D67E2E6" w:rsidR="000836A7" w:rsidRPr="00416489" w:rsidRDefault="005915D6" w:rsidP="000836A7">
      <w:pPr>
        <w:pStyle w:val="ListParagraph"/>
        <w:numPr>
          <w:ilvl w:val="0"/>
          <w:numId w:val="7"/>
        </w:numPr>
        <w:spacing w:before="240" w:after="120" w:line="240" w:lineRule="auto"/>
        <w:ind w:left="880" w:right="454"/>
        <w:contextualSpacing w:val="0"/>
        <w:jc w:val="both"/>
        <w:rPr>
          <w:rFonts w:ascii="Arial" w:hAnsi="Arial" w:cs="Arial"/>
          <w:color w:val="000000" w:themeColor="text1"/>
          <w:kern w:val="24"/>
          <w:sz w:val="24"/>
        </w:rPr>
      </w:pPr>
      <w:r>
        <w:rPr>
          <w:rFonts w:ascii="Arial" w:hAnsi="Arial"/>
          <w:color w:val="000000" w:themeColor="text1"/>
          <w:sz w:val="24"/>
        </w:rPr>
        <w:t>Do 2025. godine znanstveno utemeljeno smanjenje emisija stakleničkih plinova povezanih s uredima, podatkovnim centrima i voznim parkom poduzeća za najmanje 25 % u odnosu na početnu točku iz 2019. godine.</w:t>
      </w:r>
    </w:p>
    <w:p w14:paraId="0C6674C3" w14:textId="7C774EAC" w:rsidR="000836A7" w:rsidRPr="00416489" w:rsidRDefault="007E0338" w:rsidP="000836A7">
      <w:pPr>
        <w:pStyle w:val="ListParagraph"/>
        <w:numPr>
          <w:ilvl w:val="0"/>
          <w:numId w:val="7"/>
        </w:numPr>
        <w:spacing w:before="240" w:after="120" w:line="240" w:lineRule="auto"/>
        <w:ind w:left="880" w:right="454"/>
        <w:contextualSpacing w:val="0"/>
        <w:jc w:val="both"/>
        <w:rPr>
          <w:rFonts w:ascii="Arial" w:hAnsi="Arial" w:cs="Arial"/>
          <w:iCs/>
          <w:color w:val="000000" w:themeColor="text1"/>
          <w:kern w:val="24"/>
          <w:sz w:val="24"/>
        </w:rPr>
      </w:pPr>
      <w:r>
        <w:rPr>
          <w:rFonts w:ascii="Arial" w:hAnsi="Arial"/>
          <w:color w:val="000000" w:themeColor="text1"/>
          <w:sz w:val="24"/>
        </w:rPr>
        <w:lastRenderedPageBreak/>
        <w:t>Kupnja energije iz 100 % obnovljivih izvora gdje god je to moguće i daljnje obvezivanje za ulaganje u energetsku učinkovitost.</w:t>
      </w:r>
    </w:p>
    <w:p w14:paraId="7268BAA7" w14:textId="77777777" w:rsidR="000836A7" w:rsidRDefault="000836A7" w:rsidP="000836A7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78F85EFC" w14:textId="05CBB198" w:rsidR="001D2B30" w:rsidRPr="00392579" w:rsidRDefault="001D2B30" w:rsidP="00CD25D9">
      <w:pPr>
        <w:spacing w:before="240" w:after="120" w:line="240" w:lineRule="auto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/>
          <w:b/>
          <w:color w:val="C00000"/>
          <w:sz w:val="28"/>
          <w:szCs w:val="24"/>
        </w:rPr>
        <w:lastRenderedPageBreak/>
        <w:t>Uvod</w:t>
      </w:r>
    </w:p>
    <w:p w14:paraId="42013502" w14:textId="38BB4AEE" w:rsidR="001D2B30" w:rsidRPr="00392579" w:rsidRDefault="001D2B30" w:rsidP="00CD25D9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Dugoročni cilj usvojen Pariškim sporazumom za „ograničavanje globalnog zagrijavanja na ispod 2 °C i ulaganje napora za ograničavanje povišenja temperature na 1,5 °C iznad predindustrijske razine” zahtijeva brzu </w:t>
      </w:r>
      <w:proofErr w:type="spellStart"/>
      <w:r>
        <w:rPr>
          <w:rFonts w:ascii="Arial" w:hAnsi="Arial"/>
          <w:sz w:val="24"/>
          <w:szCs w:val="24"/>
        </w:rPr>
        <w:t>dekarbonizaciju</w:t>
      </w:r>
      <w:proofErr w:type="spellEnd"/>
      <w:r>
        <w:rPr>
          <w:rFonts w:ascii="Arial" w:hAnsi="Arial"/>
          <w:sz w:val="24"/>
          <w:szCs w:val="24"/>
        </w:rPr>
        <w:t xml:space="preserve"> globalnog gospodarstva. U posebnom izvješću o globalnom zagrijavanju od 1,5 °C, koje je 2018. godine objavilo Međuvladino tijelo za klimatske promjene (IPCC), ponovno je istaknuta hitna potreba za djelovanjem cijelog civilnog društva.</w:t>
      </w:r>
    </w:p>
    <w:p w14:paraId="60D66AD7" w14:textId="364D0627" w:rsidR="001D2B30" w:rsidRDefault="001D2B30" w:rsidP="00EB4777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tom je kontekstu </w:t>
      </w:r>
      <w:proofErr w:type="spellStart"/>
      <w:r>
        <w:rPr>
          <w:rFonts w:ascii="Arial" w:hAnsi="Arial"/>
          <w:sz w:val="24"/>
          <w:szCs w:val="24"/>
        </w:rPr>
        <w:t>Generalijeva</w:t>
      </w:r>
      <w:proofErr w:type="spellEnd"/>
      <w:r>
        <w:rPr>
          <w:rFonts w:ascii="Arial" w:hAnsi="Arial"/>
          <w:sz w:val="24"/>
          <w:szCs w:val="24"/>
        </w:rPr>
        <w:t xml:space="preserve"> strategija u skladu s pariškim akcijskim planom, definiranim kao dio 21. konferencije stranaka (COP21), koji je Grupa podržala od 2015. Kako bi uskladio opći investicijski portfelj Grupe s dugoročnim obvezama utvrđenima u Parizu, u siječnju 2020. godine Generali se pridružio Savezu vlasnika imovine s nultom stopom emisija (engl. Net-Zero </w:t>
      </w:r>
      <w:proofErr w:type="spellStart"/>
      <w:r>
        <w:rPr>
          <w:rFonts w:ascii="Arial" w:hAnsi="Arial"/>
          <w:sz w:val="24"/>
          <w:szCs w:val="24"/>
        </w:rPr>
        <w:t>Asset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Owner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Alliance</w:t>
      </w:r>
      <w:proofErr w:type="spellEnd"/>
      <w:r>
        <w:rPr>
          <w:rFonts w:ascii="Arial" w:hAnsi="Arial"/>
          <w:sz w:val="24"/>
          <w:szCs w:val="24"/>
        </w:rPr>
        <w:t xml:space="preserve">), koaliciji nekih od vodećih institucionalnih investitora, koje su sazvali Ujedinjeni narodi, preuzimajući hrabru obvezu da svoj investicijski portfelj prebace na ugljičnu neutralnost. </w:t>
      </w:r>
    </w:p>
    <w:p w14:paraId="7F1950C3" w14:textId="54A31438" w:rsidR="00A01061" w:rsidRPr="00392579" w:rsidRDefault="001D2B30" w:rsidP="00EB4777">
      <w:pPr>
        <w:spacing w:before="24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Nadalje, Generali podupire Radnu skupinu za objavljivanje financijskih informacija povezanih s klimatskim promjenama (TCFD), obvezujući se da će dobrovoljno objaviti rizike i mogućnosti povezane s klimatskim promjenama. Grupa također podupire Fond za pravednu tranziciju, projekt koji su promovirali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Grantham</w:t>
      </w:r>
      <w:proofErr w:type="spellEnd"/>
      <w:r>
        <w:rPr>
          <w:rFonts w:ascii="Arial" w:hAnsi="Arial"/>
          <w:sz w:val="24"/>
          <w:szCs w:val="24"/>
        </w:rPr>
        <w:t xml:space="preserve"> Research Institute / London </w:t>
      </w:r>
      <w:proofErr w:type="spellStart"/>
      <w:r>
        <w:rPr>
          <w:rFonts w:ascii="Arial" w:hAnsi="Arial"/>
          <w:sz w:val="24"/>
          <w:szCs w:val="24"/>
        </w:rPr>
        <w:t>School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Economics</w:t>
      </w:r>
      <w:proofErr w:type="spellEnd"/>
      <w:r>
        <w:rPr>
          <w:rFonts w:ascii="Arial" w:hAnsi="Arial"/>
          <w:sz w:val="24"/>
          <w:szCs w:val="24"/>
        </w:rPr>
        <w:t xml:space="preserve"> i Sveučilište Harvard uz načela odgovornog ulaganja (PRI). Cilj ove inicijative jest podržati „pravednu” tranziciju na </w:t>
      </w:r>
      <w:proofErr w:type="spellStart"/>
      <w:r>
        <w:rPr>
          <w:rFonts w:ascii="Arial" w:hAnsi="Arial"/>
          <w:sz w:val="24"/>
          <w:szCs w:val="24"/>
        </w:rPr>
        <w:t>niskougljično</w:t>
      </w:r>
      <w:proofErr w:type="spellEnd"/>
      <w:r>
        <w:rPr>
          <w:rFonts w:ascii="Arial" w:hAnsi="Arial"/>
          <w:sz w:val="24"/>
          <w:szCs w:val="24"/>
        </w:rPr>
        <w:t xml:space="preserve"> gospodarstvo, integrirajući socijalnu dimenziju u klimatsku strategiju kako bi se smanjio utjecaj na ugrožene radnike i njihove zajednice usvajanjem zaštitnih mjera.</w:t>
      </w:r>
    </w:p>
    <w:p w14:paraId="3EFEBA59" w14:textId="3ACDA33D" w:rsidR="008A2B4B" w:rsidRPr="00CD4A1A" w:rsidRDefault="00BD093A" w:rsidP="000836A7">
      <w:pPr>
        <w:spacing w:before="240" w:after="120" w:line="240" w:lineRule="auto"/>
        <w:rPr>
          <w:rFonts w:ascii="Arial" w:hAnsi="Arial" w:cs="Arial"/>
          <w:b/>
          <w:i/>
          <w:color w:val="C00000"/>
          <w:sz w:val="28"/>
          <w:szCs w:val="24"/>
        </w:rPr>
      </w:pPr>
      <w:r>
        <w:rPr>
          <w:rFonts w:ascii="Arial" w:hAnsi="Arial"/>
          <w:b/>
          <w:color w:val="C00000"/>
          <w:sz w:val="28"/>
          <w:szCs w:val="24"/>
        </w:rPr>
        <w:t>Ulaganja vlasnika imovine</w:t>
      </w:r>
    </w:p>
    <w:p w14:paraId="4D3FBD3A" w14:textId="1031590F" w:rsidR="00542C1F" w:rsidRPr="00A7554D" w:rsidRDefault="00CD63D2" w:rsidP="00A7554D">
      <w:pPr>
        <w:spacing w:before="240" w:after="120" w:line="240" w:lineRule="auto"/>
        <w:ind w:left="284"/>
        <w:rPr>
          <w:rFonts w:ascii="Arial" w:hAnsi="Arial" w:cs="Arial"/>
          <w:b/>
          <w:sz w:val="28"/>
          <w:szCs w:val="24"/>
        </w:rPr>
      </w:pPr>
      <w:r>
        <w:rPr>
          <w:rFonts w:ascii="Arial" w:hAnsi="Arial"/>
          <w:b/>
          <w:color w:val="000000" w:themeColor="text1"/>
          <w:sz w:val="28"/>
          <w:szCs w:val="24"/>
        </w:rPr>
        <w:t xml:space="preserve">Zelena i održiva ulaganja </w:t>
      </w:r>
    </w:p>
    <w:p w14:paraId="0C71E92B" w14:textId="139DDDEB" w:rsidR="009924AC" w:rsidRDefault="00CD63D2" w:rsidP="00CD25D9">
      <w:pPr>
        <w:pStyle w:val="ListParagraph"/>
        <w:spacing w:before="24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Generali snažno podupire prijelaz na zelenije i održivije gospodarstvo. S tim ciljem, Generali je lansirao novi cilj od 8,5 do 9,5 milijardi eura novih zelenih i održivih ulaganja do 2025. godine (s krajem 2020. godine kao početnom točkom). </w:t>
      </w:r>
    </w:p>
    <w:p w14:paraId="377EE493" w14:textId="31ACD894" w:rsidR="0074170D" w:rsidRPr="008F7522" w:rsidRDefault="0074170D" w:rsidP="00CD25D9">
      <w:pPr>
        <w:pStyle w:val="ListParagraph"/>
        <w:spacing w:before="24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Plan ulaganja koristi se vlasničkom metodologijom s ciljem procjene ekološke održivosti mogućih ulaganja, uzimajući u obzir i tekuća regulatorna kretanja u Europskoj uniji u vezi s održivim aktivnostima i standardom zelenih obveznica. Generali će nadzirati provedbu plana ulaganja i pružati godišnja ažuriranja o njegovu statusu. </w:t>
      </w:r>
    </w:p>
    <w:p w14:paraId="1A13BC5D" w14:textId="70234F64" w:rsidR="0074170D" w:rsidRPr="008F7522" w:rsidRDefault="0074170D" w:rsidP="00CD25D9">
      <w:pPr>
        <w:pStyle w:val="ListParagraph"/>
        <w:spacing w:before="24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t>Ovaj je novi cilj nastavak na prethodni koji je postignut u 2020. godini</w:t>
      </w:r>
      <w:commentRangeStart w:id="1"/>
      <w:r>
        <w:rPr>
          <w:rFonts w:ascii="Arial" w:hAnsi="Arial"/>
          <w:sz w:val="24"/>
          <w:szCs w:val="24"/>
        </w:rPr>
        <w:t>:</w:t>
      </w:r>
      <w:commentRangeEnd w:id="1"/>
      <w:r>
        <w:rPr>
          <w:rStyle w:val="CommentReference"/>
        </w:rPr>
        <w:commentReference w:id="1"/>
      </w:r>
      <w:r>
        <w:t xml:space="preserve"> od 2018. do 2020. godine Grupa je uložila više od 6 milijardi eura u nove zelene i održive aktivnosti, uglavnom putem zelenih obveznica i duga zelene infrastrukture, postigavši unaprijed cilj od 4,5 milijardi eura novih ulaganja do 2021. godine.</w:t>
      </w:r>
      <w:r>
        <w:rPr>
          <w:rFonts w:ascii="Arial" w:hAnsi="Arial"/>
          <w:sz w:val="24"/>
          <w:szCs w:val="24"/>
        </w:rPr>
        <w:t xml:space="preserve"> </w:t>
      </w:r>
    </w:p>
    <w:p w14:paraId="73563790" w14:textId="0EE14479" w:rsidR="00CD25D9" w:rsidRDefault="009924AC" w:rsidP="00CD25D9">
      <w:pPr>
        <w:pStyle w:val="CommentText"/>
        <w:spacing w:before="240" w:after="120"/>
        <w:ind w:left="284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/>
          <w:b/>
          <w:color w:val="000000" w:themeColor="text1"/>
          <w:sz w:val="28"/>
          <w:szCs w:val="24"/>
        </w:rPr>
        <w:t>Postupno ukidanje ugljena iz investicijskog portfelja</w:t>
      </w:r>
    </w:p>
    <w:p w14:paraId="63C328D4" w14:textId="1700D7DE" w:rsidR="00FF7565" w:rsidRDefault="001E1F0B" w:rsidP="00CD25D9">
      <w:pPr>
        <w:pStyle w:val="CommentText"/>
        <w:spacing w:before="240"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Generali primjenjuje ograničenja na financiranje izdavatelja ugljena od pokretanja Strategije u vezi s klimatskim promjenama 2018. godine. Dugoročno gledano, i prema </w:t>
      </w:r>
      <w:proofErr w:type="spellStart"/>
      <w:r>
        <w:rPr>
          <w:rFonts w:ascii="Arial" w:hAnsi="Arial"/>
          <w:sz w:val="24"/>
          <w:szCs w:val="24"/>
        </w:rPr>
        <w:t>dekarbonizacijskim</w:t>
      </w:r>
      <w:proofErr w:type="spellEnd"/>
      <w:r>
        <w:rPr>
          <w:rFonts w:ascii="Arial" w:hAnsi="Arial"/>
          <w:sz w:val="24"/>
          <w:szCs w:val="24"/>
        </w:rPr>
        <w:t xml:space="preserve"> putovima stvarnog gospodarstva kompatibilnog s ograničavanjem globalnog zagrijavanja unutar 1,5 °C, Generali se zalaže za potpuno isključivanje </w:t>
      </w:r>
      <w:r>
        <w:rPr>
          <w:rFonts w:ascii="Arial" w:hAnsi="Arial"/>
          <w:sz w:val="24"/>
          <w:szCs w:val="24"/>
        </w:rPr>
        <w:lastRenderedPageBreak/>
        <w:t>ulaganja u ugljen. Izuzet ćemo sve komunalne i rudarske tvrtke koje – čak i neznatno – ostvaruju prihode od ugljena, proizvode energiju iz ugljena ili vade ugljen do 2030. godine za izdavatelje koji se nalaze na području OECD-a, a do 2040. za izdavatelje u ostatku svijeta.</w:t>
      </w:r>
    </w:p>
    <w:p w14:paraId="149CE272" w14:textId="77777777" w:rsidR="005A233C" w:rsidRPr="008F7522" w:rsidRDefault="005A233C" w:rsidP="00CD25D9">
      <w:pPr>
        <w:pStyle w:val="CommentText"/>
        <w:spacing w:before="240"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Uz to, od lipnja 2021. godine Generali će uvesti strože pragove izuzeća za sektor ugljena:</w:t>
      </w:r>
    </w:p>
    <w:p w14:paraId="61A7FBFD" w14:textId="77777777" w:rsidR="005A233C" w:rsidRPr="008F7522" w:rsidRDefault="005A233C" w:rsidP="00CD25D9">
      <w:pPr>
        <w:pStyle w:val="ListParagraph"/>
        <w:numPr>
          <w:ilvl w:val="0"/>
          <w:numId w:val="12"/>
        </w:numPr>
        <w:spacing w:before="240" w:after="12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poduzeća kojima više od 20 % prihoda dolazi od ugljena;</w:t>
      </w:r>
    </w:p>
    <w:p w14:paraId="047B0B2E" w14:textId="77777777" w:rsidR="005A233C" w:rsidRPr="008F7522" w:rsidRDefault="005A233C" w:rsidP="00CD25D9">
      <w:pPr>
        <w:pStyle w:val="ListParagraph"/>
        <w:numPr>
          <w:ilvl w:val="0"/>
          <w:numId w:val="12"/>
        </w:numPr>
        <w:spacing w:before="240" w:after="12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poduzeća kojima više od 20 % proizvedene energije dolazi od ugljena;</w:t>
      </w:r>
    </w:p>
    <w:p w14:paraId="7F689742" w14:textId="77777777" w:rsidR="005A233C" w:rsidRPr="008F7522" w:rsidRDefault="005A233C" w:rsidP="00CD25D9">
      <w:pPr>
        <w:pStyle w:val="ListParagraph"/>
        <w:numPr>
          <w:ilvl w:val="0"/>
          <w:numId w:val="12"/>
        </w:numPr>
        <w:spacing w:before="240" w:after="12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poduzeća s instaliranom snagom ugljena većom od 5 GW;</w:t>
      </w:r>
    </w:p>
    <w:p w14:paraId="6A7FBDFA" w14:textId="77777777" w:rsidR="005A233C" w:rsidRPr="008F7522" w:rsidRDefault="005A233C" w:rsidP="00CD25D9">
      <w:pPr>
        <w:pStyle w:val="ListParagraph"/>
        <w:numPr>
          <w:ilvl w:val="0"/>
          <w:numId w:val="12"/>
        </w:numPr>
        <w:spacing w:before="240" w:after="12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rudarska poduzeća koja godišnje vade više od 10 milijuna tona ugljena;</w:t>
      </w:r>
    </w:p>
    <w:p w14:paraId="41A81B87" w14:textId="77777777" w:rsidR="005A233C" w:rsidRPr="008F7522" w:rsidRDefault="005A233C" w:rsidP="00CD25D9">
      <w:pPr>
        <w:pStyle w:val="ListParagraph"/>
        <w:numPr>
          <w:ilvl w:val="0"/>
          <w:numId w:val="12"/>
        </w:numPr>
        <w:spacing w:before="240" w:after="120" w:line="240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/>
          <w:sz w:val="24"/>
          <w:szCs w:val="24"/>
        </w:rPr>
        <w:t>poduzeća aktivno uključena u izgradnju novih kapaciteta ugljena većih od 0,3 GW</w:t>
      </w:r>
      <w:r>
        <w:rPr>
          <w:rFonts w:ascii="Arial" w:hAnsi="Arial"/>
        </w:rPr>
        <w:t>.</w:t>
      </w:r>
    </w:p>
    <w:p w14:paraId="285D0BDD" w14:textId="5975B6EA" w:rsidR="005A233C" w:rsidRDefault="005A233C" w:rsidP="00CD25D9">
      <w:pPr>
        <w:pStyle w:val="CommentText"/>
        <w:spacing w:before="240"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sljedećim će godinama Generali postupno smanjivati pragove izuzeća za sektor ugljena kako bi postigao potpuno ukidanje. U skladu s trenutačnom politikom izuzeća, nova ograničenja primjenjivat će se i na nova ulaganja i na postojeću izloženost ulaganjima, s pristupom </w:t>
      </w:r>
      <w:proofErr w:type="spellStart"/>
      <w:r>
        <w:rPr>
          <w:rFonts w:ascii="Arial" w:hAnsi="Arial"/>
          <w:sz w:val="24"/>
          <w:szCs w:val="24"/>
        </w:rPr>
        <w:t>dezinvestiranja</w:t>
      </w:r>
      <w:proofErr w:type="spellEnd"/>
      <w:r>
        <w:rPr>
          <w:rFonts w:ascii="Arial" w:hAnsi="Arial"/>
          <w:sz w:val="24"/>
          <w:szCs w:val="24"/>
        </w:rPr>
        <w:t xml:space="preserve"> za izloženosti na osnovi vlasničkih ulaganja i oticanja za izloženosti s fiksnim dohotkom.</w:t>
      </w:r>
    </w:p>
    <w:p w14:paraId="1944C990" w14:textId="4F2930B9" w:rsidR="005A233C" w:rsidRDefault="00CD25D9" w:rsidP="00CD25D9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Poduzeća koja imaju strategije </w:t>
      </w:r>
      <w:proofErr w:type="spellStart"/>
      <w:r>
        <w:rPr>
          <w:rFonts w:ascii="Arial" w:hAnsi="Arial"/>
          <w:sz w:val="24"/>
          <w:szCs w:val="24"/>
        </w:rPr>
        <w:t>dekarbonizacije</w:t>
      </w:r>
      <w:proofErr w:type="spellEnd"/>
      <w:r>
        <w:rPr>
          <w:rFonts w:ascii="Arial" w:hAnsi="Arial"/>
          <w:sz w:val="24"/>
          <w:szCs w:val="24"/>
        </w:rPr>
        <w:t xml:space="preserve"> ili postupnog ukidanja ugljena usklađene s putovima ograničenja povećanja temperature na 1,5 °C neće biti izuzete novim pragom, osim u slučaju da razvijaju nove kapacitete ugljena. U slučaju da su potrebne dodatne informacije za procjenu strategije </w:t>
      </w:r>
      <w:proofErr w:type="spellStart"/>
      <w:r>
        <w:rPr>
          <w:rFonts w:ascii="Arial" w:hAnsi="Arial"/>
          <w:sz w:val="24"/>
          <w:szCs w:val="24"/>
        </w:rPr>
        <w:t>dekarbonizacije</w:t>
      </w:r>
      <w:proofErr w:type="spellEnd"/>
      <w:r>
        <w:rPr>
          <w:rFonts w:ascii="Arial" w:hAnsi="Arial"/>
          <w:sz w:val="24"/>
          <w:szCs w:val="24"/>
        </w:rPr>
        <w:t xml:space="preserve"> i postupnog ukidanja ugljena, poduzeća će biti angažirana. Ako napori angažmana ne dovedu do pozitivnih rezultata, poduzeća će biti izuzeta iz investicijskog portfelja. </w:t>
      </w:r>
    </w:p>
    <w:p w14:paraId="27527E9F" w14:textId="5FE023F5" w:rsidR="00AF2234" w:rsidRPr="00AF2234" w:rsidRDefault="00E079D9" w:rsidP="00AF2234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skladu s načelima „pravedne tranzicije” (pogledajte odjeljak „Angažiranje dionika i zagovaranje ,pravedne tranzicije’”) za izdavatelje koji posluju u zemljama jako ovisnim o ugljenu, kada ne postoje dokazi o jasnoj strategiji </w:t>
      </w:r>
      <w:proofErr w:type="spellStart"/>
      <w:r>
        <w:rPr>
          <w:rFonts w:ascii="Arial" w:hAnsi="Arial"/>
          <w:sz w:val="24"/>
          <w:szCs w:val="24"/>
        </w:rPr>
        <w:t>dekarbonizacije</w:t>
      </w:r>
      <w:proofErr w:type="spellEnd"/>
      <w:r>
        <w:rPr>
          <w:rFonts w:ascii="Arial" w:hAnsi="Arial"/>
          <w:sz w:val="24"/>
          <w:szCs w:val="24"/>
        </w:rPr>
        <w:t xml:space="preserve"> ili o postupnom ukidanju ugljena, provodi se namjenski angažman. To će osigurati da ta poduzeća mogu poduzeti potrebne mjere za postupno ukidanje ugljena i usvajanje pravednih tranzicijskih planova. U tim je područjima trenutačna izloženost minimalna i iznosi 0,01 % portfelja izravnih ulaganja.</w:t>
      </w:r>
    </w:p>
    <w:p w14:paraId="5C51C370" w14:textId="34876849" w:rsidR="00787148" w:rsidRPr="00A7554D" w:rsidRDefault="001E1F0B" w:rsidP="00CD25D9">
      <w:pPr>
        <w:spacing w:before="240"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8"/>
          <w:szCs w:val="24"/>
        </w:rPr>
        <w:t>Poduzimanje mjera za katranski pijesak</w:t>
      </w:r>
    </w:p>
    <w:p w14:paraId="356CC89E" w14:textId="09EDD10E" w:rsidR="00A7423A" w:rsidRPr="00A7554D" w:rsidRDefault="00A7423A" w:rsidP="00CD25D9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Od studenoga 2019. godine Generali se obvezao da više neće ulagati u projekte i poduzeća koji su povezani s katranskim pijeskom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>, uključujući izdavatelje koji upravljaju povezanim cjevovodima.</w:t>
      </w:r>
    </w:p>
    <w:p w14:paraId="11ADC20F" w14:textId="7590E66F" w:rsidR="00236ADB" w:rsidRDefault="00A7423A" w:rsidP="00CD25D9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 skladu s tim, Generali prodaje svoju preostalu izloženost prema ovom sektoru u iznosu manjem od 15 milijuna eura, što je iznos jednak 0,003 % općeg investicijskog portfelja.</w:t>
      </w:r>
    </w:p>
    <w:p w14:paraId="7CFF0D86" w14:textId="1E00BAEC" w:rsidR="00747B40" w:rsidRDefault="00747B40" w:rsidP="00CD25D9">
      <w:pPr>
        <w:spacing w:before="240" w:after="120" w:line="240" w:lineRule="auto"/>
        <w:ind w:left="284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/>
          <w:b/>
          <w:color w:val="000000" w:themeColor="text1"/>
          <w:sz w:val="28"/>
          <w:szCs w:val="24"/>
        </w:rPr>
        <w:t xml:space="preserve">Ciljevi </w:t>
      </w:r>
      <w:proofErr w:type="spellStart"/>
      <w:r>
        <w:rPr>
          <w:rFonts w:ascii="Arial" w:hAnsi="Arial"/>
          <w:b/>
          <w:color w:val="000000" w:themeColor="text1"/>
          <w:sz w:val="28"/>
          <w:szCs w:val="24"/>
        </w:rPr>
        <w:t>dekarbonizacije</w:t>
      </w:r>
      <w:proofErr w:type="spellEnd"/>
      <w:r>
        <w:rPr>
          <w:rFonts w:ascii="Arial" w:hAnsi="Arial"/>
          <w:b/>
          <w:color w:val="000000" w:themeColor="text1"/>
          <w:sz w:val="28"/>
          <w:szCs w:val="24"/>
        </w:rPr>
        <w:t xml:space="preserve"> za 2025. godinu za portfelje vlasničkih ulaganja, korporativnih obveznica i imovine </w:t>
      </w:r>
    </w:p>
    <w:p w14:paraId="25207E65" w14:textId="0379CCBF" w:rsidR="005A233C" w:rsidRPr="008F7522" w:rsidRDefault="005A233C" w:rsidP="00310B7D">
      <w:pPr>
        <w:spacing w:before="240" w:after="12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Kao član Saveza vlasnika imovine s nultom stopom emisija, Generali se zalaže za postupnu </w:t>
      </w:r>
      <w:proofErr w:type="spellStart"/>
      <w:r>
        <w:rPr>
          <w:rFonts w:ascii="Arial" w:hAnsi="Arial"/>
          <w:sz w:val="24"/>
          <w:szCs w:val="24"/>
        </w:rPr>
        <w:t>dekarbonizaciju</w:t>
      </w:r>
      <w:proofErr w:type="spellEnd"/>
      <w:r>
        <w:rPr>
          <w:rFonts w:ascii="Arial" w:hAnsi="Arial"/>
          <w:sz w:val="24"/>
          <w:szCs w:val="24"/>
        </w:rPr>
        <w:t xml:space="preserve"> svog investicijskog portfelja kako bi postigao svoju ugljičnu </w:t>
      </w:r>
      <w:r>
        <w:rPr>
          <w:rFonts w:ascii="Arial" w:hAnsi="Arial"/>
          <w:sz w:val="24"/>
          <w:szCs w:val="24"/>
        </w:rPr>
        <w:lastRenderedPageBreak/>
        <w:t xml:space="preserve">neutralnost do 2050. godine. Generali je postavio određene ciljeve </w:t>
      </w:r>
      <w:proofErr w:type="spellStart"/>
      <w:r>
        <w:rPr>
          <w:rFonts w:ascii="Arial" w:hAnsi="Arial"/>
          <w:sz w:val="24"/>
          <w:szCs w:val="24"/>
        </w:rPr>
        <w:t>dekarbonizacije</w:t>
      </w:r>
      <w:proofErr w:type="spellEnd"/>
      <w:r>
        <w:rPr>
          <w:rFonts w:ascii="Arial" w:hAnsi="Arial"/>
          <w:sz w:val="24"/>
          <w:szCs w:val="24"/>
        </w:rPr>
        <w:t xml:space="preserve"> za 2025. godinu za portfelj izravnih ulaganja:</w:t>
      </w:r>
    </w:p>
    <w:p w14:paraId="6A9DA23C" w14:textId="100C3CB4" w:rsidR="005A233C" w:rsidRPr="008F7522" w:rsidRDefault="005A233C" w:rsidP="00310B7D">
      <w:pPr>
        <w:pStyle w:val="ListParagraph"/>
        <w:numPr>
          <w:ilvl w:val="0"/>
          <w:numId w:val="12"/>
        </w:numPr>
        <w:spacing w:before="240"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korporativne obveznice, vlasnički vrijednosni papiri: -25 % intenziteta ugljika u odnosu na početnu točku na kraju 2019. godine</w:t>
      </w:r>
    </w:p>
    <w:p w14:paraId="3C65C4D1" w14:textId="08A6CBFF" w:rsidR="005A233C" w:rsidRPr="008F7522" w:rsidRDefault="005A233C" w:rsidP="00310B7D">
      <w:pPr>
        <w:pStyle w:val="ListParagraph"/>
        <w:numPr>
          <w:ilvl w:val="0"/>
          <w:numId w:val="12"/>
        </w:numPr>
        <w:spacing w:before="240"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imovina: odabrani portfelj u prosjeku će biti usklađen sa znanstveno utemeljenim putem da bi imovina</w:t>
      </w:r>
      <w:r w:rsidR="008A1F80" w:rsidRPr="008F752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  <w:r>
        <w:rPr>
          <w:rFonts w:ascii="Arial" w:hAnsi="Arial"/>
          <w:sz w:val="24"/>
          <w:szCs w:val="24"/>
        </w:rPr>
        <w:t xml:space="preserve"> ograničila globalno zagrijavanje na 1,5 °C </w:t>
      </w:r>
    </w:p>
    <w:p w14:paraId="273C6AC8" w14:textId="0ED0630B" w:rsidR="005A233C" w:rsidRDefault="005A233C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Generali će taj cilj postići putem nekoliko provedbenih radnji u sljedećim godinama i pružat će stalna ažuriranja.</w:t>
      </w:r>
    </w:p>
    <w:p w14:paraId="0F1B188D" w14:textId="77777777" w:rsidR="00E079D9" w:rsidRPr="008F7522" w:rsidRDefault="00E079D9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14:paraId="41D19759" w14:textId="3BFBC11A" w:rsidR="00CB4B80" w:rsidRDefault="00236ADB" w:rsidP="000836A7">
      <w:pPr>
        <w:spacing w:before="240" w:after="120" w:line="240" w:lineRule="auto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/>
          <w:b/>
          <w:color w:val="C00000"/>
          <w:sz w:val="28"/>
          <w:szCs w:val="24"/>
        </w:rPr>
        <w:t>Preuzimanje rizika</w:t>
      </w:r>
    </w:p>
    <w:p w14:paraId="20A80CC0" w14:textId="71307E12" w:rsidR="00EE3216" w:rsidRPr="00A7554D" w:rsidRDefault="008A3DC6" w:rsidP="00A65BAC">
      <w:pPr>
        <w:spacing w:before="240" w:after="120" w:line="240" w:lineRule="auto"/>
        <w:ind w:left="284"/>
        <w:rPr>
          <w:rFonts w:ascii="Arial" w:hAnsi="Arial" w:cs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Zelena osiguranja </w:t>
      </w:r>
    </w:p>
    <w:p w14:paraId="67F00404" w14:textId="30B33E3B" w:rsidR="00236ADB" w:rsidRPr="008619EA" w:rsidRDefault="00236ADB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 obzirom na mogućnosti osiguranja imovine i osiguranja od odgovornosti, Generali je postavio stručni centar za razvijanje i razmjenu najboljih praksi za preuzimanje specifičnih rizika u sektoru obnovljive energije.</w:t>
      </w:r>
    </w:p>
    <w:p w14:paraId="06C4A603" w14:textId="55CF028E" w:rsidR="00236ADB" w:rsidRDefault="00236ADB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Generali će i dalje povećavati asortiman proizvoda s ekološkom vrijednošću za maloprodaju i tržište malih i srednjih poduzeća, na primjer onih kojima je cilj podržati energetsku učinkovitost zgrada ili onih koji imaju za cilj promicanje održive mobilnosti.</w:t>
      </w:r>
    </w:p>
    <w:p w14:paraId="41458EEA" w14:textId="5268AE6A" w:rsidR="005F676E" w:rsidRPr="00A7554D" w:rsidRDefault="001E1F0B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8"/>
          <w:szCs w:val="24"/>
        </w:rPr>
        <w:t>Poduzimanje mjera za ugljen</w:t>
      </w:r>
    </w:p>
    <w:p w14:paraId="15FF6CD8" w14:textId="6F1EC2D7" w:rsidR="00FF7565" w:rsidRPr="00A7554D" w:rsidRDefault="00CD4A1A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Assicurazioni</w:t>
      </w:r>
      <w:proofErr w:type="spellEnd"/>
      <w:r>
        <w:rPr>
          <w:rFonts w:ascii="Arial" w:hAnsi="Arial"/>
          <w:sz w:val="24"/>
          <w:szCs w:val="24"/>
        </w:rPr>
        <w:t xml:space="preserve"> Generali i sve pravne osobe pod nadzorom primjenjuju ograničenja na preuzimanje poslova povezanih s ugljenom od 2018. godine i obvezuju se smanjiti izloženost osiguranja Grupe na nulu (ispod 0,1 % ukupne premije P&amp;C osiguranja) za ovaj sektor do 2038. godine.</w:t>
      </w:r>
    </w:p>
    <w:p w14:paraId="690DC98B" w14:textId="765219FD" w:rsidR="001A1E90" w:rsidRDefault="00236ADB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 tu svrhu, od 1. siječnja 2022. godine Grupa više neće osiguravati postojeće rudnike ugljena i termoelektrane potencijalnih novih klijenata identificiranih prema kriterijima koji su čak i postroženi ovim izdanjem Tehničke napomene*.</w:t>
      </w:r>
    </w:p>
    <w:p w14:paraId="4CE894CC" w14:textId="46BC0339" w:rsidR="006563E1" w:rsidRDefault="001A1E90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Nadalje, Generali više neće pružati osiguranje za izgradnju novih rudnika ugljena i novih termoelektrana na ugljen, čak ni ako to zatraže klijenti iz portfelja. Ovo se ograničenje ne odnosi na modernizaciju ili rekonstrukciju postojećih elektrana/jedinica u vlasništvu postojećih klijenata ili pod njihovim vodstvom. </w:t>
      </w:r>
    </w:p>
    <w:p w14:paraId="213DE674" w14:textId="77777777" w:rsidR="006563E1" w:rsidRDefault="006563E1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Ova se ograničenja također primjenjuju na fakultativno reosiguranje, kao i na prihvaćanje ugovora o reosiguranju matičnog društva od strane kontroliranih pravnih subjekata Grupe.</w:t>
      </w:r>
    </w:p>
    <w:p w14:paraId="5C7F781A" w14:textId="5EBEB0CD" w:rsidR="007308BF" w:rsidRPr="00A7554D" w:rsidRDefault="00F326A4" w:rsidP="00A65BAC">
      <w:pPr>
        <w:spacing w:before="240" w:after="120" w:line="240" w:lineRule="auto"/>
        <w:ind w:left="284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lastRenderedPageBreak/>
        <w:t>Poduzimanje mjera na nekonvencionalnoj nafti i plinu (katranski pijesak, nafta i plin iz škriljevca) te na arktičkoj nafti i plinu</w:t>
      </w:r>
    </w:p>
    <w:p w14:paraId="6B153510" w14:textId="35C7E22F" w:rsidR="009D44A0" w:rsidRDefault="008A3DC6" w:rsidP="00A65BAC">
      <w:pPr>
        <w:pStyle w:val="ListParagraph"/>
        <w:spacing w:before="24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Assicurazioni</w:t>
      </w:r>
      <w:proofErr w:type="spellEnd"/>
      <w:r>
        <w:rPr>
          <w:rFonts w:ascii="Arial" w:hAnsi="Arial"/>
          <w:sz w:val="24"/>
          <w:szCs w:val="24"/>
        </w:rPr>
        <w:t xml:space="preserve"> Generali i svi pravni subjekti pod nadzorom nastavljaju sa svojim obvezivanjem i više ne osiguravaju primarne sfere privrede nafte i plina. Preuzimanje rizika za ove djelatnosti dopušteno je samo ako su u potpunosti rezidualni u odnosu na program osiguranja koji postoji kod klijenta (iznosi manje od 10 % vrijednosti pokrivene imovine).</w:t>
      </w:r>
    </w:p>
    <w:p w14:paraId="51191E19" w14:textId="7DD66A1D" w:rsidR="00DF4C35" w:rsidRDefault="007308BF" w:rsidP="00A65BAC">
      <w:pPr>
        <w:pStyle w:val="ListParagraph"/>
        <w:spacing w:before="24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 tim u vezi, Grupa ne preuzima rizike povezane s istraživanjem i proizvodnjom fosilnih goriva iz katranskog pijeska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i naslaga škriljevca, uključujući operatore povezanih cjevovoda. </w:t>
      </w:r>
    </w:p>
    <w:p w14:paraId="440758F3" w14:textId="503CFC5D" w:rsidR="007308BF" w:rsidRDefault="007308BF" w:rsidP="00A65BAC">
      <w:pPr>
        <w:pStyle w:val="ListParagraph"/>
        <w:spacing w:before="24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Generali se također nastavlja obvezivati da više neće preuzimati rizike povezane s istraživanjem i proizvodnjom nafte i plina na Arktiku, kako na kopnu, tako i na moru.</w:t>
      </w:r>
    </w:p>
    <w:p w14:paraId="394091B9" w14:textId="77777777" w:rsidR="006563E1" w:rsidRDefault="006563E1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Ova se ograničenja također primjenjuju na fakultativno reosiguranje, kao i na prihvaćanje ugovora o reosiguranju matičnog društva od strane kontroliranih pravnih subjekata Grupe.</w:t>
      </w:r>
    </w:p>
    <w:p w14:paraId="6409CD2D" w14:textId="77777777" w:rsidR="00B371B8" w:rsidRDefault="00B371B8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14:paraId="3E469C73" w14:textId="1972345A" w:rsidR="00114E0B" w:rsidRDefault="00A77F25" w:rsidP="00B371B8">
      <w:pPr>
        <w:spacing w:before="240" w:after="120" w:line="240" w:lineRule="auto"/>
        <w:rPr>
          <w:rFonts w:ascii="Arial" w:hAnsi="Arial" w:cs="Arial"/>
          <w:b/>
          <w:color w:val="C00000"/>
          <w:sz w:val="28"/>
          <w:szCs w:val="24"/>
        </w:rPr>
      </w:pPr>
      <w:bookmarkStart w:id="2" w:name="_Hlk526415194"/>
      <w:r>
        <w:rPr>
          <w:rFonts w:ascii="Arial" w:hAnsi="Arial"/>
          <w:b/>
          <w:color w:val="C00000"/>
          <w:sz w:val="28"/>
          <w:szCs w:val="24"/>
        </w:rPr>
        <w:t>Angažman dionika</w:t>
      </w:r>
    </w:p>
    <w:p w14:paraId="4AC7DC61" w14:textId="7818CB10" w:rsidR="005A233C" w:rsidRPr="008F7522" w:rsidRDefault="005A233C" w:rsidP="00B371B8">
      <w:pPr>
        <w:spacing w:before="240" w:after="120" w:line="240" w:lineRule="auto"/>
        <w:ind w:left="284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Angažman za utjecaj na stvarno gospodarstvo</w:t>
      </w:r>
    </w:p>
    <w:p w14:paraId="42BD6A5D" w14:textId="77777777" w:rsidR="0009365A" w:rsidRDefault="005A233C" w:rsidP="00B371B8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skladu s ciljem omogućavanja pozitivnih promjena u stvarnom gospodarstvu, Generali je postavio cilj da do 2025. angažira 20 ulagača koji intenzivno troše ugljik kako bi pokrenuli njihov prijelaz na putove </w:t>
      </w:r>
      <w:proofErr w:type="spellStart"/>
      <w:r>
        <w:rPr>
          <w:rFonts w:ascii="Arial" w:hAnsi="Arial"/>
          <w:sz w:val="24"/>
          <w:szCs w:val="24"/>
        </w:rPr>
        <w:t>dekarbonizacije</w:t>
      </w:r>
      <w:proofErr w:type="spellEnd"/>
      <w:r>
        <w:rPr>
          <w:rFonts w:ascii="Arial" w:hAnsi="Arial"/>
          <w:sz w:val="24"/>
          <w:szCs w:val="24"/>
        </w:rPr>
        <w:t xml:space="preserve"> s nultom stopom emisija. </w:t>
      </w:r>
    </w:p>
    <w:p w14:paraId="705E5871" w14:textId="4EAA6D13" w:rsidR="005A233C" w:rsidRPr="008F7522" w:rsidRDefault="005A233C" w:rsidP="00B371B8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Ovaj trud također će pridonijeti </w:t>
      </w:r>
      <w:proofErr w:type="spellStart"/>
      <w:r>
        <w:rPr>
          <w:rFonts w:ascii="Arial" w:hAnsi="Arial"/>
          <w:sz w:val="24"/>
          <w:szCs w:val="24"/>
        </w:rPr>
        <w:t>dekarbonizaciji</w:t>
      </w:r>
      <w:proofErr w:type="spellEnd"/>
      <w:r>
        <w:rPr>
          <w:rFonts w:ascii="Arial" w:hAnsi="Arial"/>
          <w:sz w:val="24"/>
          <w:szCs w:val="24"/>
        </w:rPr>
        <w:t xml:space="preserve"> investicijskog portfelja Generali. Generali će redovito pružati novosti o aktivnostima angažmana.</w:t>
      </w:r>
    </w:p>
    <w:p w14:paraId="6C901BFB" w14:textId="77777777" w:rsidR="005A233C" w:rsidRPr="00A65BAC" w:rsidRDefault="005A233C" w:rsidP="00B371B8">
      <w:pPr>
        <w:spacing w:before="240" w:after="120" w:line="240" w:lineRule="auto"/>
        <w:ind w:left="142" w:firstLine="142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/>
          <w:b/>
          <w:color w:val="000000" w:themeColor="text1"/>
          <w:sz w:val="28"/>
          <w:szCs w:val="24"/>
        </w:rPr>
        <w:t>Angažiranje dionika i zagovaranje „pravedne tranzicije”</w:t>
      </w:r>
    </w:p>
    <w:p w14:paraId="51C67FD8" w14:textId="77777777" w:rsidR="00A65BAC" w:rsidRDefault="00114E0B" w:rsidP="00B371B8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Prema UNFCCC-u – Okvirnoj konvenciji Ujedinjenih naroda o klimatskim promjenama – prijelaz na ekonomiju s niskim udjelom ugljika utjecat će na gotovo 1,5 milijardi radnika širom svijeta. Te će zajednice trebati restrukturirati svoja gospodarstva, osigurati energetsku sigurnost, prekvalificirati radnike pogođene tranzicijom i osposobiti ljude za buduća nova radna mjesta, a sve kako bi održale socijalnu koheziju. Zato Generali podupire ideju „pravedne tranzicije” za radnike i zajednice koja doprinosi zdravom, izdržljivom i održivom društvu, u kojem nitko ne „zaostaje”. </w:t>
      </w:r>
    </w:p>
    <w:p w14:paraId="211F6A7C" w14:textId="77777777" w:rsidR="00A65BAC" w:rsidRDefault="00114E0B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Zbog toga </w:t>
      </w:r>
      <w:proofErr w:type="spellStart"/>
      <w:r>
        <w:rPr>
          <w:rFonts w:ascii="Arial" w:hAnsi="Arial"/>
          <w:sz w:val="24"/>
          <w:szCs w:val="24"/>
        </w:rPr>
        <w:t>Generalijeva</w:t>
      </w:r>
      <w:proofErr w:type="spellEnd"/>
      <w:r>
        <w:rPr>
          <w:rFonts w:ascii="Arial" w:hAnsi="Arial"/>
          <w:sz w:val="24"/>
          <w:szCs w:val="24"/>
        </w:rPr>
        <w:t xml:space="preserve"> strategija ne uključuje samo postupke u ulaganju i ugovaranju, već se također oslanja na angažman s ključnim dionicima, uključujući kreatore politike, nevladine organizacije (NVO) i poduzeća.</w:t>
      </w:r>
    </w:p>
    <w:p w14:paraId="1599A0F1" w14:textId="0D93F758" w:rsidR="00A65BAC" w:rsidRDefault="00114E0B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Konkretno, u zemljama u kojima gospodarstvo i zapošljavanje uvelike ovise o ugljenu, Generali surađuje s poduzećima iz ovog sektora koji su bili u portfelju klijenata ili </w:t>
      </w:r>
      <w:r>
        <w:rPr>
          <w:rFonts w:ascii="Arial" w:hAnsi="Arial"/>
          <w:sz w:val="24"/>
          <w:szCs w:val="24"/>
        </w:rPr>
        <w:lastRenderedPageBreak/>
        <w:t xml:space="preserve">investicijskom portfelju 2018. godine kada su uvedena ograničenja. Cilj ovog angažmana jest ubrzati napore k pravednoj tranziciji planovima </w:t>
      </w:r>
      <w:proofErr w:type="spellStart"/>
      <w:r>
        <w:rPr>
          <w:rFonts w:ascii="Arial" w:hAnsi="Arial"/>
          <w:sz w:val="24"/>
          <w:szCs w:val="24"/>
        </w:rPr>
        <w:t>dekarbonizacije</w:t>
      </w:r>
      <w:proofErr w:type="spellEnd"/>
      <w:r>
        <w:rPr>
          <w:rFonts w:ascii="Arial" w:hAnsi="Arial"/>
          <w:sz w:val="24"/>
          <w:szCs w:val="24"/>
        </w:rPr>
        <w:t xml:space="preserve"> koji kombiniraju klimatske politike i usvajanje zaštitnih mjera za radnike i lokalne zajednice.</w:t>
      </w:r>
    </w:p>
    <w:p w14:paraId="23B9F78B" w14:textId="0084A890" w:rsidR="00A65BAC" w:rsidRDefault="00A70164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tim situacijama obnova imovinskih pokrića i financiranje podliježu obvezi angažiranog poduzeća da predstavi i provede učinkovite znanstveno utemeljene planove „pravedne tranzicije” u skladu s Pariškim sporazumom kako bi globalno zagrijavanje bilo ispod 1,5 °C prema pouzdanim metodologijama kao što je inicijativa Science </w:t>
      </w:r>
      <w:proofErr w:type="spellStart"/>
      <w:r>
        <w:rPr>
          <w:rFonts w:ascii="Arial" w:hAnsi="Arial"/>
          <w:sz w:val="24"/>
          <w:szCs w:val="24"/>
        </w:rPr>
        <w:t>Based</w:t>
      </w:r>
      <w:proofErr w:type="spellEnd"/>
      <w:r>
        <w:rPr>
          <w:rFonts w:ascii="Arial" w:hAnsi="Arial"/>
          <w:sz w:val="24"/>
          <w:szCs w:val="24"/>
        </w:rPr>
        <w:t xml:space="preserve"> Target.</w:t>
      </w:r>
    </w:p>
    <w:p w14:paraId="53C4425C" w14:textId="3F1EF59F" w:rsidR="00114E0B" w:rsidRPr="008619EA" w:rsidRDefault="00114E0B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 procesu angažmana, koji je započeo u srpnju 2018. godine, sudjelovala su poduzeća povezana s ugljenom u zemljama u kojima udio ugljena u nacionalnoj mješavini električne energije prelazi 45 % (prema podacima Međunarodne agencije za energiju) i gdje je Generali Group primarni investitor i/ili osiguravatelj. Ažuriranja o ovom procesu redovito se objavljuju putem izvještaja Grupe.</w:t>
      </w:r>
    </w:p>
    <w:p w14:paraId="065292F6" w14:textId="2025C6AB" w:rsidR="00114E0B" w:rsidRPr="008619EA" w:rsidRDefault="00114E0B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Ovaj angažman omogućuje Generaliju da odluči hoće li nastaviti osiguravati djelatnosti tih tvrtki povezanih s ugljenom, uključujući ih u portfelj izravnih ulaganja. U tom će slučaju Generali nadgledati razinu provedbe tih planova svake dvije godine.</w:t>
      </w:r>
    </w:p>
    <w:p w14:paraId="6079B58B" w14:textId="26BDCE4F" w:rsidR="00114E0B" w:rsidRDefault="004F3658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danas je angažman rezultirao prestankom poslovnog odnosa s 4 poduzeća, dok Generali nastavlja suradnju s još 4 poduzeća. Prekid suradnje i posljedični prekid poslovnog odnosa predstavlja posljednju i najkritičniju opciju. Grupa i uključeni dionici prepoznaju da je dijalog najučinkovitije rješenje za ubrzanje tranzicije prema društvu s niskim udjelom ugljika, osiguravajući njegovo „pravedno” raspoređivanje uključivanjem radnika i zajednica koje su izravno pogođene. </w:t>
      </w:r>
    </w:p>
    <w:p w14:paraId="152A9421" w14:textId="77777777" w:rsidR="00B371B8" w:rsidRDefault="00B371B8" w:rsidP="00A65BAC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bookmarkEnd w:id="2"/>
    <w:p w14:paraId="42C039E7" w14:textId="1876CF52" w:rsidR="00162AC7" w:rsidRDefault="00162AC7" w:rsidP="00162AC7">
      <w:pPr>
        <w:spacing w:before="240" w:after="120" w:line="240" w:lineRule="auto"/>
        <w:jc w:val="both"/>
        <w:rPr>
          <w:rFonts w:ascii="Arial" w:hAnsi="Arial" w:cs="Arial"/>
          <w:b/>
          <w:color w:val="C00000"/>
          <w:kern w:val="24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t xml:space="preserve">Znanstveno utemeljena </w:t>
      </w:r>
      <w:proofErr w:type="spellStart"/>
      <w:r>
        <w:rPr>
          <w:rFonts w:ascii="Arial" w:hAnsi="Arial"/>
          <w:b/>
          <w:color w:val="C00000"/>
          <w:sz w:val="28"/>
          <w:szCs w:val="28"/>
        </w:rPr>
        <w:t>dekarbonizacija</w:t>
      </w:r>
      <w:proofErr w:type="spellEnd"/>
      <w:r>
        <w:rPr>
          <w:rFonts w:ascii="Arial" w:hAnsi="Arial"/>
          <w:b/>
          <w:color w:val="C00000"/>
          <w:sz w:val="28"/>
          <w:szCs w:val="28"/>
        </w:rPr>
        <w:t xml:space="preserve"> djelatnosti Grupe zbog čega Generali pozitivno utječe na klimatske promjene</w:t>
      </w:r>
    </w:p>
    <w:p w14:paraId="749E549C" w14:textId="444F331A" w:rsidR="0009365A" w:rsidRDefault="00162AC7" w:rsidP="00162AC7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Kako bi pokazao usklađenost s obvezama koje se očekuju od poduzeća koja osigurava i financira Grupa, Generali već nekoliko godina radi na mjerenju i smanjenju emisija ugljika te izvještavanju o ugljiku koji proizlazi iz vlastitog poslovanja. </w:t>
      </w:r>
    </w:p>
    <w:p w14:paraId="4E4CFD7C" w14:textId="7920D729" w:rsidR="0034535A" w:rsidRDefault="0034535A" w:rsidP="00162AC7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Provedba strategije usmjerene na </w:t>
      </w:r>
      <w:proofErr w:type="spellStart"/>
      <w:r>
        <w:rPr>
          <w:rFonts w:ascii="Arial" w:hAnsi="Arial"/>
          <w:sz w:val="24"/>
          <w:szCs w:val="24"/>
        </w:rPr>
        <w:t>dekarbonizaciju</w:t>
      </w:r>
      <w:proofErr w:type="spellEnd"/>
      <w:r>
        <w:rPr>
          <w:rFonts w:ascii="Arial" w:hAnsi="Arial"/>
          <w:sz w:val="24"/>
          <w:szCs w:val="24"/>
        </w:rPr>
        <w:t xml:space="preserve"> glavnih sjedišta Grupe, podatkovnih centara i poslovnih putovanja omogućila je 2020. postizanje cilja smanjenja emisija stakleničkih plinova za 20 % u odnosu na početnu točku iz 2013. godine.</w:t>
      </w:r>
    </w:p>
    <w:p w14:paraId="47D87958" w14:textId="05EDBF82" w:rsidR="00AF3ADC" w:rsidRDefault="0034535A" w:rsidP="00162AC7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 se ambicija obnavlja do 2025. godine novim znanstveno utemeljenim ciljem smanjenja emisije ugljika u vezi s opsegom 1 i opsegom 2 emisija ureda, podatkovnih centara i voznog parka Grupe od najmanje 25 % u odnosu na razine izmjerene u 2019. upotrebom tržišne metode Protokol o stakleničkim plinovima.</w:t>
      </w:r>
    </w:p>
    <w:p w14:paraId="0DCB769A" w14:textId="2FD7A115" w:rsidR="00653303" w:rsidRDefault="00840296" w:rsidP="00A7554D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Ovo smanjenje podržat će se inovacijama na radnom mjestu i optimizacijom prostora daljnjim poboljšanjem energetske učinkovitosti i utjecajem na kupnju 100 % obnovljive energije gdje je to moguće. Povećat će se i udio hibridnih i električnih vozila u voznom parku poduzeća.</w:t>
      </w:r>
    </w:p>
    <w:p w14:paraId="62551634" w14:textId="1831246F" w:rsidR="00915566" w:rsidRDefault="005915D6" w:rsidP="00135AAF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Grupa će poduzeti mjere za neutraliziranje preostalih emisija i postavila je ambiciozni cilj pozitivnog utjecaja na klimatske promjene do 2040. godine, smanjujući na nulu svoje neto emisije ugljika financiranjem kvantificiranih, stvarnih, trajnih i društveno korisnih projekata uklanjanja ugljika. Generali će postići srednji cilj klimatske neutralnosti do 2023. godine dobrovoljnim smanjivanjem potrošnje.</w:t>
      </w:r>
    </w:p>
    <w:p w14:paraId="00FF13CE" w14:textId="77777777" w:rsidR="00A475E6" w:rsidRDefault="00A475E6" w:rsidP="00135AAF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14:paraId="54A76BE6" w14:textId="77777777" w:rsidR="00A475E6" w:rsidRDefault="00A475E6" w:rsidP="00135AAF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14:paraId="35E33AE3" w14:textId="77777777" w:rsidR="00A475E6" w:rsidRDefault="00A475E6" w:rsidP="00135AAF">
      <w:pPr>
        <w:spacing w:before="240" w:after="12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14:paraId="66016541" w14:textId="5E453A03" w:rsidR="00C670F7" w:rsidRPr="00C8718C" w:rsidRDefault="008172DA" w:rsidP="000836A7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/>
          <w:b/>
          <w:color w:val="C00000"/>
          <w:sz w:val="24"/>
        </w:rPr>
        <w:t>1. Definicija poduzeća povezanih s ugljenom</w:t>
      </w:r>
    </w:p>
    <w:p w14:paraId="1CFBDCCA" w14:textId="2AD862CD" w:rsidR="009F64D6" w:rsidRPr="00A475E6" w:rsidRDefault="009F64D6" w:rsidP="000836A7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Generali se koristi sljedećim strogim kriterijima za definiranje poslova povezanih s ugljenom:</w:t>
      </w:r>
    </w:p>
    <w:p w14:paraId="0551F26D" w14:textId="68CE3130" w:rsidR="009F64D6" w:rsidRPr="00A475E6" w:rsidRDefault="009F64D6" w:rsidP="00511C13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poduzeća kojima više od 20 % prihoda* dolazi od ugljena;</w:t>
      </w:r>
    </w:p>
    <w:p w14:paraId="33CDE630" w14:textId="6F8BC08A" w:rsidR="009F64D6" w:rsidRPr="00A475E6" w:rsidRDefault="009F64D6" w:rsidP="00511C13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poduzeća kojima više od 20 % proizvedene energije* dolazi od ugljena;</w:t>
      </w:r>
    </w:p>
    <w:p w14:paraId="6E061C8A" w14:textId="5F665CE1" w:rsidR="00B94955" w:rsidRPr="00A475E6" w:rsidRDefault="00B94955" w:rsidP="00511C13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poduzeća s instaliranom snagom ugljena većom od 5 GW*;</w:t>
      </w:r>
    </w:p>
    <w:p w14:paraId="102E3FC7" w14:textId="5E84FA5C" w:rsidR="00B94955" w:rsidRPr="00A475E6" w:rsidRDefault="009F64D6" w:rsidP="00511C13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rudarska poduzeća koja godišnje* proizvode više od 10 milijuna tona ugljena;</w:t>
      </w:r>
    </w:p>
    <w:p w14:paraId="38E8277E" w14:textId="511B9213" w:rsidR="00CE1363" w:rsidRPr="00A475E6" w:rsidRDefault="009F64D6" w:rsidP="00511C13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poduzeća aktivno uključena u izgradnju novih kapaciteta ugljena većih od 0,3 GW*.</w:t>
      </w:r>
    </w:p>
    <w:p w14:paraId="01AC1AFA" w14:textId="77777777" w:rsidR="00A7554D" w:rsidRDefault="00A7554D" w:rsidP="000836A7">
      <w:pPr>
        <w:spacing w:before="240" w:after="120" w:line="240" w:lineRule="auto"/>
        <w:rPr>
          <w:rFonts w:ascii="Arial" w:hAnsi="Arial" w:cs="Arial"/>
          <w:b/>
          <w:color w:val="C00000"/>
          <w:sz w:val="24"/>
          <w:lang w:val="en-US"/>
        </w:rPr>
      </w:pPr>
    </w:p>
    <w:p w14:paraId="56877DDF" w14:textId="30031792" w:rsidR="009F64D6" w:rsidRPr="00C8718C" w:rsidRDefault="008172DA" w:rsidP="000836A7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/>
          <w:b/>
          <w:color w:val="C00000"/>
          <w:sz w:val="24"/>
        </w:rPr>
        <w:t>2. Definicija poduzeća povezanih s katranskim pijeskom</w:t>
      </w:r>
    </w:p>
    <w:p w14:paraId="26F4A696" w14:textId="77777777" w:rsidR="009F64D6" w:rsidRPr="00A475E6" w:rsidRDefault="009F64D6" w:rsidP="000836A7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Generali se koristi sljedećim strogim kriterijima za definiranje poslova povezanih s katranskim pijeskom:</w:t>
      </w:r>
    </w:p>
    <w:p w14:paraId="12A7826A" w14:textId="29BFC223" w:rsidR="009F64D6" w:rsidRPr="00A475E6" w:rsidRDefault="009F64D6" w:rsidP="00A475E6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poduzeća kojima više od 5 % prihoda* dolazi od vađenja katranskog pijeska;</w:t>
      </w:r>
    </w:p>
    <w:p w14:paraId="234C53EB" w14:textId="3B5F0987" w:rsidR="009F64D6" w:rsidRPr="00A475E6" w:rsidRDefault="00A475E6" w:rsidP="00A475E6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poduzeća koja upravljaju* kontroverznim cjevovodom namijenjenim prijevozu katranskog pijeska.</w:t>
      </w:r>
    </w:p>
    <w:p w14:paraId="7B3E0E16" w14:textId="49E16A53" w:rsidR="00307ECB" w:rsidRPr="00A475E6" w:rsidRDefault="00307ECB" w:rsidP="00A475E6">
      <w:pPr>
        <w:spacing w:before="240"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747CC2F" w14:textId="096FAEBF" w:rsidR="00526F0B" w:rsidRPr="00A475E6" w:rsidRDefault="00526F0B" w:rsidP="00A475E6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*Na temelju podataka dostupnih od strane neovisnih pružatelja usluga</w:t>
      </w:r>
    </w:p>
    <w:sectPr w:rsidR="00526F0B" w:rsidRPr="00A475E6" w:rsidSect="00A645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1134" w:bottom="1560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orta Alessandro" w:date="2021-06-15T10:05:00Z" w:initials="PA">
    <w:p w14:paraId="284CC3F4" w14:textId="77777777" w:rsidR="00032D15" w:rsidRDefault="00051E86">
      <w:pPr>
        <w:pStyle w:val="CommentText"/>
      </w:pPr>
      <w:r>
        <w:rPr>
          <w:rStyle w:val="CommentReference"/>
        </w:rPr>
        <w:annotationRef/>
      </w:r>
      <w:r>
        <w:t>ripetizione con l’ultima frase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4CC3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8AD0B" w16cex:dateUtc="2021-06-07T12:34:00Z"/>
  <w16cex:commentExtensible w16cex:durableId="2468AE99" w16cex:dateUtc="2021-06-07T12:41:00Z"/>
  <w16cex:commentExtensible w16cex:durableId="2468BEA0" w16cex:dateUtc="2021-06-07T13:49:00Z"/>
  <w16cex:commentExtensible w16cex:durableId="2468BFB4" w16cex:dateUtc="2021-06-07T13:54:00Z"/>
  <w16cex:commentExtensible w16cex:durableId="2468C0A1" w16cex:dateUtc="2021-06-07T13:58:00Z"/>
  <w16cex:commentExtensible w16cex:durableId="2468C15F" w16cex:dateUtc="2021-06-07T14:01:00Z"/>
  <w16cex:commentExtensible w16cex:durableId="2468C307" w16cex:dateUtc="2021-06-07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4CC3F4" w16cid:durableId="248D9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A631" w14:textId="77777777" w:rsidR="00A35C8F" w:rsidRDefault="00A35C8F" w:rsidP="00DD59E6">
      <w:pPr>
        <w:spacing w:after="0" w:line="240" w:lineRule="auto"/>
      </w:pPr>
      <w:r>
        <w:separator/>
      </w:r>
    </w:p>
  </w:endnote>
  <w:endnote w:type="continuationSeparator" w:id="0">
    <w:p w14:paraId="5C0E7E1C" w14:textId="77777777" w:rsidR="00A35C8F" w:rsidRDefault="00A35C8F" w:rsidP="00DD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793007"/>
      <w:docPartObj>
        <w:docPartGallery w:val="Page Numbers (Bottom of Page)"/>
        <w:docPartUnique/>
      </w:docPartObj>
    </w:sdtPr>
    <w:sdtEndPr/>
    <w:sdtContent>
      <w:p w14:paraId="70900833" w14:textId="0E55752C" w:rsidR="003306B5" w:rsidRDefault="00465BDF" w:rsidP="002A1DEE">
        <w:pPr>
          <w:pStyle w:val="Footer"/>
          <w:jc w:val="right"/>
        </w:pPr>
        <w:r>
          <w:rPr>
            <w:rFonts w:ascii="Arial" w:hAnsi="Arial"/>
            <w:noProof/>
            <w:sz w:val="18"/>
            <w:szCs w:val="18"/>
          </w:rPr>
          <w:drawing>
            <wp:anchor distT="0" distB="0" distL="114300" distR="114300" simplePos="0" relativeHeight="251675648" behindDoc="1" locked="0" layoutInCell="1" allowOverlap="1" wp14:anchorId="6B270CCA" wp14:editId="0DBE8E28">
              <wp:simplePos x="0" y="0"/>
              <wp:positionH relativeFrom="page">
                <wp:align>left</wp:align>
              </wp:positionH>
              <wp:positionV relativeFrom="paragraph">
                <wp:posOffset>-587829</wp:posOffset>
              </wp:positionV>
              <wp:extent cx="257175" cy="1198939"/>
              <wp:effectExtent l="0" t="0" r="0" b="1270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" cy="11989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306B5" w:rsidRPr="00CD25D9">
          <w:rPr>
            <w:rFonts w:ascii="Arial" w:hAnsi="Arial" w:cs="Arial"/>
            <w:color w:val="C00000"/>
            <w:sz w:val="18"/>
            <w:szCs w:val="18"/>
          </w:rPr>
          <w:fldChar w:fldCharType="begin"/>
        </w:r>
        <w:r w:rsidR="003306B5" w:rsidRPr="00CD25D9">
          <w:rPr>
            <w:rFonts w:ascii="Arial" w:hAnsi="Arial" w:cs="Arial"/>
            <w:color w:val="C00000"/>
            <w:sz w:val="18"/>
            <w:szCs w:val="18"/>
          </w:rPr>
          <w:instrText>PAGE   \* MERGEFORMAT</w:instrText>
        </w:r>
        <w:r w:rsidR="003306B5" w:rsidRPr="00CD25D9">
          <w:rPr>
            <w:rFonts w:ascii="Arial" w:hAnsi="Arial" w:cs="Arial"/>
            <w:color w:val="C00000"/>
            <w:sz w:val="18"/>
            <w:szCs w:val="18"/>
          </w:rPr>
          <w:fldChar w:fldCharType="separate"/>
        </w:r>
        <w:r w:rsidR="00757051">
          <w:rPr>
            <w:rFonts w:ascii="Arial" w:hAnsi="Arial" w:cs="Arial"/>
            <w:color w:val="C00000"/>
            <w:sz w:val="18"/>
            <w:szCs w:val="18"/>
          </w:rPr>
          <w:t>2</w:t>
        </w:r>
        <w:r w:rsidR="003306B5" w:rsidRPr="00CD25D9">
          <w:rPr>
            <w:rFonts w:ascii="Arial" w:hAnsi="Arial" w:cs="Arial"/>
            <w:color w:val="C00000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332176"/>
      <w:docPartObj>
        <w:docPartGallery w:val="Page Numbers (Bottom of Page)"/>
        <w:docPartUnique/>
      </w:docPartObj>
    </w:sdtPr>
    <w:sdtEndPr>
      <w:rPr>
        <w:rFonts w:ascii="Arial" w:hAnsi="Arial" w:cs="Arial"/>
        <w:color w:val="C00000"/>
      </w:rPr>
    </w:sdtEndPr>
    <w:sdtContent>
      <w:p w14:paraId="2F32C860" w14:textId="512AC789" w:rsidR="001776A4" w:rsidRPr="002A1DEE" w:rsidRDefault="00465BDF" w:rsidP="002A1DEE">
        <w:pPr>
          <w:pStyle w:val="Footer"/>
          <w:jc w:val="right"/>
          <w:rPr>
            <w:color w:val="C00000"/>
          </w:rPr>
        </w:pPr>
        <w:r>
          <w:rPr>
            <w:noProof/>
            <w:sz w:val="24"/>
            <w:szCs w:val="24"/>
          </w:rPr>
          <w:drawing>
            <wp:anchor distT="0" distB="0" distL="114300" distR="114300" simplePos="0" relativeHeight="251677696" behindDoc="1" locked="0" layoutInCell="1" allowOverlap="1" wp14:anchorId="7135A0D8" wp14:editId="1971D58D">
              <wp:simplePos x="0" y="0"/>
              <wp:positionH relativeFrom="page">
                <wp:align>left</wp:align>
              </wp:positionH>
              <wp:positionV relativeFrom="paragraph">
                <wp:posOffset>-590550</wp:posOffset>
              </wp:positionV>
              <wp:extent cx="257175" cy="1198939"/>
              <wp:effectExtent l="0" t="0" r="0" b="1270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" cy="11989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color w:val="C0000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D4C3FF5" wp14:editId="213E8C7F">
                  <wp:simplePos x="0" y="0"/>
                  <wp:positionH relativeFrom="page">
                    <wp:posOffset>0</wp:posOffset>
                  </wp:positionH>
                  <wp:positionV relativeFrom="page">
                    <wp:posOffset>10234930</wp:posOffset>
                  </wp:positionV>
                  <wp:extent cx="7560310" cy="266700"/>
                  <wp:effectExtent l="0" t="0" r="0" b="0"/>
                  <wp:wrapNone/>
                  <wp:docPr id="5" name="MSIPCMc3ac4729a3128d688bd9dce3" descr="{&quot;HashCode&quot;:1262666206,&quot;Height&quot;:841.0,&quot;Width&quot;:595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56031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364090" w14:textId="77777777" w:rsidR="003B4069" w:rsidRPr="003B4069" w:rsidRDefault="003B4069" w:rsidP="003B4069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D4C3FF5" id="_x0000_t202" coordsize="21600,21600" o:spt="202" path="m,l,21600r21600,l21600,xe">
                  <v:stroke joinstyle="miter"/>
                  <v:path gradientshapeok="t" o:connecttype="rect"/>
                </v:shapetype>
                <v:shape id="MSIPCMc3ac4729a3128d688bd9dce3" o:spid="_x0000_s1026" type="#_x0000_t202" alt="{&quot;HashCode&quot;:126266620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" o:allowincell="f" filled="f" stroked="f" strokeweight=".5pt">
                  <v:textbox inset="20pt,0,,0">
                    <w:txbxContent>
                      <w:p w14:paraId="62364090" w14:textId="77777777" w:rsidR="003B4069" w:rsidRPr="003B4069" w:rsidRDefault="003B4069" w:rsidP="003B4069">
                        <w:pPr>
                          <w:spacing w:after="0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776A4" w:rsidRPr="002A1DEE">
          <w:rPr>
            <w:color w:val="C00000"/>
          </w:rPr>
          <w:fldChar w:fldCharType="begin"/>
        </w:r>
        <w:r w:rsidR="001776A4" w:rsidRPr="002A1DEE">
          <w:rPr>
            <w:color w:val="C00000"/>
          </w:rPr>
          <w:instrText>PAGE   \* MERGEFORMAT</w:instrText>
        </w:r>
        <w:r w:rsidR="001776A4" w:rsidRPr="002A1DEE">
          <w:rPr>
            <w:color w:val="C00000"/>
          </w:rPr>
          <w:fldChar w:fldCharType="separate"/>
        </w:r>
        <w:r w:rsidR="00757051">
          <w:rPr>
            <w:color w:val="C00000"/>
          </w:rPr>
          <w:t>3</w:t>
        </w:r>
        <w:r w:rsidR="001776A4" w:rsidRPr="002A1DEE">
          <w:rPr>
            <w:color w:val="C0000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407073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p w14:paraId="398CE0B4" w14:textId="599C90AF" w:rsidR="003306B5" w:rsidRPr="002A1DEE" w:rsidRDefault="00465BDF" w:rsidP="002A1DEE">
        <w:pPr>
          <w:pStyle w:val="Footer"/>
          <w:jc w:val="right"/>
          <w:rPr>
            <w:color w:val="C00000"/>
          </w:rPr>
        </w:pPr>
        <w:r>
          <w:rPr>
            <w:noProof/>
            <w:sz w:val="24"/>
            <w:szCs w:val="24"/>
          </w:rPr>
          <w:drawing>
            <wp:anchor distT="0" distB="0" distL="114300" distR="114300" simplePos="0" relativeHeight="251673600" behindDoc="1" locked="0" layoutInCell="1" allowOverlap="1" wp14:anchorId="66675DA4" wp14:editId="72CB11D7">
              <wp:simplePos x="0" y="0"/>
              <wp:positionH relativeFrom="page">
                <wp:align>left</wp:align>
              </wp:positionH>
              <wp:positionV relativeFrom="paragraph">
                <wp:posOffset>-598714</wp:posOffset>
              </wp:positionV>
              <wp:extent cx="257175" cy="1198939"/>
              <wp:effectExtent l="0" t="0" r="0" b="127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" cy="11989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306B5" w:rsidRPr="002A1DEE">
          <w:rPr>
            <w:rFonts w:ascii="Aril" w:hAnsi="Aril"/>
            <w:color w:val="C00000"/>
          </w:rPr>
          <w:fldChar w:fldCharType="begin"/>
        </w:r>
        <w:r w:rsidR="003306B5" w:rsidRPr="002A1DEE">
          <w:rPr>
            <w:rFonts w:ascii="Aril" w:hAnsi="Aril"/>
            <w:color w:val="C00000"/>
          </w:rPr>
          <w:instrText>PAGE   \* MERGEFORMAT</w:instrText>
        </w:r>
        <w:r w:rsidR="003306B5" w:rsidRPr="002A1DEE">
          <w:rPr>
            <w:rFonts w:ascii="Aril" w:hAnsi="Aril"/>
            <w:color w:val="C00000"/>
          </w:rPr>
          <w:fldChar w:fldCharType="separate"/>
        </w:r>
        <w:r w:rsidR="00757051">
          <w:rPr>
            <w:rFonts w:ascii="Aril" w:hAnsi="Aril"/>
            <w:color w:val="C00000"/>
          </w:rPr>
          <w:t>1</w:t>
        </w:r>
        <w:r w:rsidR="003306B5" w:rsidRPr="002A1DEE">
          <w:rPr>
            <w:rFonts w:ascii="Aril" w:hAnsi="Aril"/>
            <w:color w:val="C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EE4F" w14:textId="77777777" w:rsidR="00A35C8F" w:rsidRDefault="00A35C8F" w:rsidP="00DD59E6">
      <w:pPr>
        <w:spacing w:after="0" w:line="240" w:lineRule="auto"/>
      </w:pPr>
      <w:r>
        <w:separator/>
      </w:r>
    </w:p>
  </w:footnote>
  <w:footnote w:type="continuationSeparator" w:id="0">
    <w:p w14:paraId="7999FBE6" w14:textId="77777777" w:rsidR="00A35C8F" w:rsidRDefault="00A35C8F" w:rsidP="00DD59E6">
      <w:pPr>
        <w:spacing w:after="0" w:line="240" w:lineRule="auto"/>
      </w:pPr>
      <w:r>
        <w:continuationSeparator/>
      </w:r>
    </w:p>
  </w:footnote>
  <w:footnote w:id="1">
    <w:p w14:paraId="5562B37A" w14:textId="76E434C6" w:rsidR="008A1F80" w:rsidRPr="00CD25D9" w:rsidRDefault="003929E9" w:rsidP="008A1F80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/>
          <w:sz w:val="18"/>
        </w:rPr>
        <w:t>*</w:t>
      </w:r>
      <w:r>
        <w:rPr>
          <w:rFonts w:ascii="Arial" w:hAnsi="Arial"/>
          <w:sz w:val="18"/>
        </w:rPr>
        <w:t xml:space="preserve"> Prema metodologiji CREEM (Carbon Real Estate Risk Monitor), znanstveno utemeljenom modelu dekarbonizacije za imovinu. Generalijev cilj za nekretnine bit će postupno proširivan tako da pokriva puni portfelj izravnih ulaganja imovine u vlasništvu Grupe.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FC29" w14:textId="77777777" w:rsidR="002A1DEE" w:rsidRDefault="002A1DEE">
    <w:pPr>
      <w:pStyle w:val="Header"/>
    </w:pPr>
    <w:r>
      <w:rPr>
        <w:rFonts w:ascii="Arial" w:hAnsi="Arial"/>
        <w:b/>
        <w:noProof/>
        <w:color w:val="C00000"/>
        <w:sz w:val="44"/>
        <w:szCs w:val="24"/>
      </w:rPr>
      <w:drawing>
        <wp:anchor distT="0" distB="0" distL="114300" distR="114300" simplePos="0" relativeHeight="251669504" behindDoc="1" locked="0" layoutInCell="1" allowOverlap="1" wp14:anchorId="1A8001A6" wp14:editId="3BCC102D">
          <wp:simplePos x="0" y="0"/>
          <wp:positionH relativeFrom="column">
            <wp:posOffset>-370840</wp:posOffset>
          </wp:positionH>
          <wp:positionV relativeFrom="paragraph">
            <wp:posOffset>-246380</wp:posOffset>
          </wp:positionV>
          <wp:extent cx="725903" cy="588397"/>
          <wp:effectExtent l="0" t="0" r="0" b="2540"/>
          <wp:wrapSquare wrapText="bothSides"/>
          <wp:docPr id="18" name="Picture 18" descr="C:\Users\porta3\Desktop\testi web\open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porta3\Desktop\testi web\opendocum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03" cy="58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F764" w14:textId="77777777" w:rsidR="002A1DEE" w:rsidRDefault="002A1DEE">
    <w:pPr>
      <w:pStyle w:val="Header"/>
    </w:pPr>
    <w:r>
      <w:rPr>
        <w:rFonts w:ascii="Arial" w:hAnsi="Arial"/>
        <w:b/>
        <w:noProof/>
        <w:color w:val="C00000"/>
        <w:sz w:val="44"/>
        <w:szCs w:val="24"/>
      </w:rPr>
      <w:drawing>
        <wp:anchor distT="0" distB="0" distL="114300" distR="114300" simplePos="0" relativeHeight="251671552" behindDoc="1" locked="0" layoutInCell="1" allowOverlap="1" wp14:anchorId="1E956425" wp14:editId="642F9217">
          <wp:simplePos x="0" y="0"/>
          <wp:positionH relativeFrom="column">
            <wp:posOffset>-429260</wp:posOffset>
          </wp:positionH>
          <wp:positionV relativeFrom="paragraph">
            <wp:posOffset>-241895</wp:posOffset>
          </wp:positionV>
          <wp:extent cx="725903" cy="588397"/>
          <wp:effectExtent l="0" t="0" r="0" b="2540"/>
          <wp:wrapNone/>
          <wp:docPr id="19" name="Picture 19" descr="C:\Users\porta3\Desktop\testi web\open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porta3\Desktop\testi web\opendocum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03" cy="58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CB3" w14:textId="46F87BEC" w:rsidR="003306B5" w:rsidRDefault="002A1DEE" w:rsidP="003306B5">
    <w:pPr>
      <w:pStyle w:val="Header"/>
    </w:pPr>
    <w:r>
      <w:rPr>
        <w:rFonts w:ascii="Arial" w:hAnsi="Arial"/>
        <w:b/>
        <w:noProof/>
        <w:color w:val="C00000"/>
        <w:sz w:val="44"/>
        <w:szCs w:val="24"/>
      </w:rPr>
      <w:drawing>
        <wp:anchor distT="0" distB="0" distL="114300" distR="114300" simplePos="0" relativeHeight="251667456" behindDoc="1" locked="0" layoutInCell="1" allowOverlap="1" wp14:anchorId="77A0AC97" wp14:editId="6A0A0F7E">
          <wp:simplePos x="0" y="0"/>
          <wp:positionH relativeFrom="column">
            <wp:posOffset>-405517</wp:posOffset>
          </wp:positionH>
          <wp:positionV relativeFrom="paragraph">
            <wp:posOffset>-215320</wp:posOffset>
          </wp:positionV>
          <wp:extent cx="725903" cy="588397"/>
          <wp:effectExtent l="0" t="0" r="0" b="2540"/>
          <wp:wrapNone/>
          <wp:docPr id="20" name="Picture 20" descr="C:\Users\porta3\Desktop\testi web\open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porta3\Desktop\testi web\opendocum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03" cy="58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C00000"/>
        <w:sz w:val="44"/>
        <w:szCs w:val="24"/>
      </w:rPr>
      <w:t xml:space="preserve"> </w:t>
    </w:r>
  </w:p>
  <w:p w14:paraId="51532587" w14:textId="77777777" w:rsidR="003306B5" w:rsidRDefault="00330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40F"/>
    <w:multiLevelType w:val="hybridMultilevel"/>
    <w:tmpl w:val="D3B4167C"/>
    <w:lvl w:ilvl="0" w:tplc="0C58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3CC"/>
    <w:multiLevelType w:val="hybridMultilevel"/>
    <w:tmpl w:val="A3AA23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A1007"/>
    <w:multiLevelType w:val="hybridMultilevel"/>
    <w:tmpl w:val="0C542C88"/>
    <w:lvl w:ilvl="0" w:tplc="1540B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D70"/>
    <w:multiLevelType w:val="hybridMultilevel"/>
    <w:tmpl w:val="A1A00932"/>
    <w:lvl w:ilvl="0" w:tplc="BE2AD34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CF6"/>
    <w:multiLevelType w:val="hybridMultilevel"/>
    <w:tmpl w:val="5BD0C5F4"/>
    <w:lvl w:ilvl="0" w:tplc="0C58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48B"/>
    <w:multiLevelType w:val="hybridMultilevel"/>
    <w:tmpl w:val="FCDE6ED2"/>
    <w:lvl w:ilvl="0" w:tplc="DD9C5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68C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A4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23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42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E8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CD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F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28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3745"/>
    <w:multiLevelType w:val="hybridMultilevel"/>
    <w:tmpl w:val="2E70C3F0"/>
    <w:lvl w:ilvl="0" w:tplc="1540B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2C3C"/>
    <w:multiLevelType w:val="hybridMultilevel"/>
    <w:tmpl w:val="850459FA"/>
    <w:lvl w:ilvl="0" w:tplc="34B2EF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1A7B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C673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C2FC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6881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86F5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A44F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F45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EC7D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F5A3D3E"/>
    <w:multiLevelType w:val="hybridMultilevel"/>
    <w:tmpl w:val="8B966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29B2"/>
    <w:multiLevelType w:val="hybridMultilevel"/>
    <w:tmpl w:val="88B03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262D"/>
    <w:multiLevelType w:val="hybridMultilevel"/>
    <w:tmpl w:val="6F4E9FA8"/>
    <w:lvl w:ilvl="0" w:tplc="84FC4CD2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4759A"/>
    <w:multiLevelType w:val="hybridMultilevel"/>
    <w:tmpl w:val="CD887A02"/>
    <w:lvl w:ilvl="0" w:tplc="1C809C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6D1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48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C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C6D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088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EBC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ABD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6C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74B"/>
    <w:multiLevelType w:val="hybridMultilevel"/>
    <w:tmpl w:val="AC14F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236EA"/>
    <w:multiLevelType w:val="hybridMultilevel"/>
    <w:tmpl w:val="B70E4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E20EA"/>
    <w:multiLevelType w:val="hybridMultilevel"/>
    <w:tmpl w:val="749C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  <w:num w:numId="15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rta Alessandro">
    <w15:presenceInfo w15:providerId="AD" w15:userId="S-1-5-21-1715762271-106585584-659304657-672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4B"/>
    <w:rsid w:val="00000186"/>
    <w:rsid w:val="000038DA"/>
    <w:rsid w:val="00003E94"/>
    <w:rsid w:val="00005370"/>
    <w:rsid w:val="00006526"/>
    <w:rsid w:val="000065C2"/>
    <w:rsid w:val="0001267E"/>
    <w:rsid w:val="000126A2"/>
    <w:rsid w:val="00014A58"/>
    <w:rsid w:val="00023643"/>
    <w:rsid w:val="0002665F"/>
    <w:rsid w:val="00027AAC"/>
    <w:rsid w:val="000302CA"/>
    <w:rsid w:val="0003242B"/>
    <w:rsid w:val="00032D15"/>
    <w:rsid w:val="00033CEF"/>
    <w:rsid w:val="00034CD4"/>
    <w:rsid w:val="00035AD7"/>
    <w:rsid w:val="00037061"/>
    <w:rsid w:val="000370B4"/>
    <w:rsid w:val="00042C80"/>
    <w:rsid w:val="00043BE0"/>
    <w:rsid w:val="00043F64"/>
    <w:rsid w:val="00045A96"/>
    <w:rsid w:val="00047069"/>
    <w:rsid w:val="00051E86"/>
    <w:rsid w:val="00052903"/>
    <w:rsid w:val="00053E97"/>
    <w:rsid w:val="00057E33"/>
    <w:rsid w:val="00061F75"/>
    <w:rsid w:val="00065FC0"/>
    <w:rsid w:val="0006675D"/>
    <w:rsid w:val="00067364"/>
    <w:rsid w:val="00073D8D"/>
    <w:rsid w:val="00075DC9"/>
    <w:rsid w:val="00080DCE"/>
    <w:rsid w:val="00081EBE"/>
    <w:rsid w:val="00082E45"/>
    <w:rsid w:val="000836A7"/>
    <w:rsid w:val="0009315A"/>
    <w:rsid w:val="0009365A"/>
    <w:rsid w:val="000A064D"/>
    <w:rsid w:val="000A31EB"/>
    <w:rsid w:val="000A36A1"/>
    <w:rsid w:val="000A54FF"/>
    <w:rsid w:val="000A5B6E"/>
    <w:rsid w:val="000B3377"/>
    <w:rsid w:val="000C18B9"/>
    <w:rsid w:val="000D3BB1"/>
    <w:rsid w:val="000D5234"/>
    <w:rsid w:val="000D5935"/>
    <w:rsid w:val="000E56C4"/>
    <w:rsid w:val="000F0DBA"/>
    <w:rsid w:val="000F249C"/>
    <w:rsid w:val="000F7869"/>
    <w:rsid w:val="00100333"/>
    <w:rsid w:val="00111D7B"/>
    <w:rsid w:val="00114B34"/>
    <w:rsid w:val="00114E0B"/>
    <w:rsid w:val="0013300F"/>
    <w:rsid w:val="00133F6D"/>
    <w:rsid w:val="00135394"/>
    <w:rsid w:val="00135AAF"/>
    <w:rsid w:val="001367D2"/>
    <w:rsid w:val="00143195"/>
    <w:rsid w:val="00144474"/>
    <w:rsid w:val="001604D6"/>
    <w:rsid w:val="001607E6"/>
    <w:rsid w:val="00162AC7"/>
    <w:rsid w:val="00164144"/>
    <w:rsid w:val="00164C03"/>
    <w:rsid w:val="00166B91"/>
    <w:rsid w:val="00172018"/>
    <w:rsid w:val="00172BA7"/>
    <w:rsid w:val="001776A4"/>
    <w:rsid w:val="0018142F"/>
    <w:rsid w:val="00187662"/>
    <w:rsid w:val="001916F2"/>
    <w:rsid w:val="00192507"/>
    <w:rsid w:val="00193EA9"/>
    <w:rsid w:val="00194B1C"/>
    <w:rsid w:val="001A1E90"/>
    <w:rsid w:val="001A2B97"/>
    <w:rsid w:val="001A3B52"/>
    <w:rsid w:val="001A4933"/>
    <w:rsid w:val="001A68C7"/>
    <w:rsid w:val="001B031B"/>
    <w:rsid w:val="001B0511"/>
    <w:rsid w:val="001B0F82"/>
    <w:rsid w:val="001B6A75"/>
    <w:rsid w:val="001C5155"/>
    <w:rsid w:val="001C67EC"/>
    <w:rsid w:val="001D2B30"/>
    <w:rsid w:val="001E0268"/>
    <w:rsid w:val="001E1DE9"/>
    <w:rsid w:val="001E1F0B"/>
    <w:rsid w:val="001E22A9"/>
    <w:rsid w:val="001E2CD0"/>
    <w:rsid w:val="001F3190"/>
    <w:rsid w:val="002008C9"/>
    <w:rsid w:val="00202058"/>
    <w:rsid w:val="0021300C"/>
    <w:rsid w:val="0021348F"/>
    <w:rsid w:val="002142BD"/>
    <w:rsid w:val="00216776"/>
    <w:rsid w:val="00221BD9"/>
    <w:rsid w:val="00222D2D"/>
    <w:rsid w:val="00222F57"/>
    <w:rsid w:val="00224139"/>
    <w:rsid w:val="00224DC6"/>
    <w:rsid w:val="00233113"/>
    <w:rsid w:val="002350B7"/>
    <w:rsid w:val="00235F6C"/>
    <w:rsid w:val="00236ADB"/>
    <w:rsid w:val="00236D5A"/>
    <w:rsid w:val="00241D3A"/>
    <w:rsid w:val="00243887"/>
    <w:rsid w:val="002443AC"/>
    <w:rsid w:val="00251B64"/>
    <w:rsid w:val="00251FA9"/>
    <w:rsid w:val="00253734"/>
    <w:rsid w:val="00255886"/>
    <w:rsid w:val="00256EA3"/>
    <w:rsid w:val="00264DAC"/>
    <w:rsid w:val="00265923"/>
    <w:rsid w:val="002717B7"/>
    <w:rsid w:val="00271F53"/>
    <w:rsid w:val="00272528"/>
    <w:rsid w:val="0027326E"/>
    <w:rsid w:val="0027669D"/>
    <w:rsid w:val="00281257"/>
    <w:rsid w:val="002840D1"/>
    <w:rsid w:val="00285015"/>
    <w:rsid w:val="00291DF5"/>
    <w:rsid w:val="00293006"/>
    <w:rsid w:val="002965A5"/>
    <w:rsid w:val="002978BC"/>
    <w:rsid w:val="002979EA"/>
    <w:rsid w:val="00297A17"/>
    <w:rsid w:val="002A0190"/>
    <w:rsid w:val="002A1DEE"/>
    <w:rsid w:val="002A2126"/>
    <w:rsid w:val="002A2AC8"/>
    <w:rsid w:val="002A39BC"/>
    <w:rsid w:val="002A3DC0"/>
    <w:rsid w:val="002B36FB"/>
    <w:rsid w:val="002B4FD6"/>
    <w:rsid w:val="002B6037"/>
    <w:rsid w:val="002B7DAD"/>
    <w:rsid w:val="002C1A50"/>
    <w:rsid w:val="002C1CB7"/>
    <w:rsid w:val="002C2F21"/>
    <w:rsid w:val="002D4A75"/>
    <w:rsid w:val="002D6EE6"/>
    <w:rsid w:val="002D70DF"/>
    <w:rsid w:val="002E0719"/>
    <w:rsid w:val="002E2BEB"/>
    <w:rsid w:val="002E3FB9"/>
    <w:rsid w:val="002F2881"/>
    <w:rsid w:val="002F288A"/>
    <w:rsid w:val="002F4A4F"/>
    <w:rsid w:val="002F689E"/>
    <w:rsid w:val="00302521"/>
    <w:rsid w:val="00302D72"/>
    <w:rsid w:val="003040E9"/>
    <w:rsid w:val="00304F74"/>
    <w:rsid w:val="0030550C"/>
    <w:rsid w:val="00305A09"/>
    <w:rsid w:val="00307C74"/>
    <w:rsid w:val="00307ECB"/>
    <w:rsid w:val="00310B7D"/>
    <w:rsid w:val="0031199A"/>
    <w:rsid w:val="00316F76"/>
    <w:rsid w:val="00321BF4"/>
    <w:rsid w:val="00321EB1"/>
    <w:rsid w:val="0032362A"/>
    <w:rsid w:val="00324D06"/>
    <w:rsid w:val="003306B5"/>
    <w:rsid w:val="00332735"/>
    <w:rsid w:val="003335CD"/>
    <w:rsid w:val="0034270E"/>
    <w:rsid w:val="0034535A"/>
    <w:rsid w:val="00345544"/>
    <w:rsid w:val="00345C9A"/>
    <w:rsid w:val="003478D6"/>
    <w:rsid w:val="00350BBB"/>
    <w:rsid w:val="00350F5D"/>
    <w:rsid w:val="0035218B"/>
    <w:rsid w:val="00352D62"/>
    <w:rsid w:val="00361B72"/>
    <w:rsid w:val="003621E3"/>
    <w:rsid w:val="00362823"/>
    <w:rsid w:val="00365F2A"/>
    <w:rsid w:val="00367E60"/>
    <w:rsid w:val="00370F18"/>
    <w:rsid w:val="00373CAE"/>
    <w:rsid w:val="00374E81"/>
    <w:rsid w:val="0037716D"/>
    <w:rsid w:val="0038068C"/>
    <w:rsid w:val="0038421B"/>
    <w:rsid w:val="00390997"/>
    <w:rsid w:val="00392579"/>
    <w:rsid w:val="003929E9"/>
    <w:rsid w:val="00393A1A"/>
    <w:rsid w:val="00394C19"/>
    <w:rsid w:val="00396BE6"/>
    <w:rsid w:val="003A428D"/>
    <w:rsid w:val="003A5A03"/>
    <w:rsid w:val="003A6E83"/>
    <w:rsid w:val="003A799C"/>
    <w:rsid w:val="003B0935"/>
    <w:rsid w:val="003B1C36"/>
    <w:rsid w:val="003B3A5E"/>
    <w:rsid w:val="003B3ACC"/>
    <w:rsid w:val="003B4069"/>
    <w:rsid w:val="003B7B7B"/>
    <w:rsid w:val="003C1CB6"/>
    <w:rsid w:val="003C7E95"/>
    <w:rsid w:val="003D00E1"/>
    <w:rsid w:val="003D0950"/>
    <w:rsid w:val="003D173C"/>
    <w:rsid w:val="003D4CDB"/>
    <w:rsid w:val="003D7B51"/>
    <w:rsid w:val="003D7DB5"/>
    <w:rsid w:val="003E13EE"/>
    <w:rsid w:val="003E3749"/>
    <w:rsid w:val="003F0183"/>
    <w:rsid w:val="003F7483"/>
    <w:rsid w:val="00411DBD"/>
    <w:rsid w:val="00416489"/>
    <w:rsid w:val="00430E7F"/>
    <w:rsid w:val="0043266D"/>
    <w:rsid w:val="00435F8E"/>
    <w:rsid w:val="00440EC9"/>
    <w:rsid w:val="00441716"/>
    <w:rsid w:val="00445457"/>
    <w:rsid w:val="00445D4D"/>
    <w:rsid w:val="004506C9"/>
    <w:rsid w:val="0045343E"/>
    <w:rsid w:val="00454695"/>
    <w:rsid w:val="00456946"/>
    <w:rsid w:val="004573E5"/>
    <w:rsid w:val="00460EAD"/>
    <w:rsid w:val="00465321"/>
    <w:rsid w:val="00465BDF"/>
    <w:rsid w:val="004675E5"/>
    <w:rsid w:val="004712BF"/>
    <w:rsid w:val="004745DD"/>
    <w:rsid w:val="00474950"/>
    <w:rsid w:val="00490B34"/>
    <w:rsid w:val="00493975"/>
    <w:rsid w:val="00493E30"/>
    <w:rsid w:val="00494F8B"/>
    <w:rsid w:val="00496449"/>
    <w:rsid w:val="00497017"/>
    <w:rsid w:val="004976BC"/>
    <w:rsid w:val="004A00A9"/>
    <w:rsid w:val="004A34CC"/>
    <w:rsid w:val="004A3D48"/>
    <w:rsid w:val="004A713A"/>
    <w:rsid w:val="004A78D3"/>
    <w:rsid w:val="004B1DB7"/>
    <w:rsid w:val="004B27E2"/>
    <w:rsid w:val="004C016C"/>
    <w:rsid w:val="004C110F"/>
    <w:rsid w:val="004C1632"/>
    <w:rsid w:val="004C2066"/>
    <w:rsid w:val="004C4903"/>
    <w:rsid w:val="004D0639"/>
    <w:rsid w:val="004D1CFF"/>
    <w:rsid w:val="004E11C4"/>
    <w:rsid w:val="004E184D"/>
    <w:rsid w:val="004E3494"/>
    <w:rsid w:val="004E54B2"/>
    <w:rsid w:val="004E74A2"/>
    <w:rsid w:val="004E77F3"/>
    <w:rsid w:val="004F3658"/>
    <w:rsid w:val="004F4F77"/>
    <w:rsid w:val="005002AB"/>
    <w:rsid w:val="00501EA0"/>
    <w:rsid w:val="00501F9C"/>
    <w:rsid w:val="00501F9E"/>
    <w:rsid w:val="00502A35"/>
    <w:rsid w:val="00502CE1"/>
    <w:rsid w:val="00503411"/>
    <w:rsid w:val="005049D2"/>
    <w:rsid w:val="00505914"/>
    <w:rsid w:val="00511C13"/>
    <w:rsid w:val="0051421A"/>
    <w:rsid w:val="00517EBF"/>
    <w:rsid w:val="00522008"/>
    <w:rsid w:val="00526F0B"/>
    <w:rsid w:val="00527FCB"/>
    <w:rsid w:val="005314A4"/>
    <w:rsid w:val="005413F9"/>
    <w:rsid w:val="00542C1F"/>
    <w:rsid w:val="005434B1"/>
    <w:rsid w:val="00545308"/>
    <w:rsid w:val="00546D34"/>
    <w:rsid w:val="005470E5"/>
    <w:rsid w:val="00553955"/>
    <w:rsid w:val="005548A9"/>
    <w:rsid w:val="0055676D"/>
    <w:rsid w:val="00563E05"/>
    <w:rsid w:val="00565CF8"/>
    <w:rsid w:val="00567850"/>
    <w:rsid w:val="00571A36"/>
    <w:rsid w:val="00576D9A"/>
    <w:rsid w:val="005777E9"/>
    <w:rsid w:val="00582E79"/>
    <w:rsid w:val="005830D8"/>
    <w:rsid w:val="00585A55"/>
    <w:rsid w:val="00586899"/>
    <w:rsid w:val="00586E1F"/>
    <w:rsid w:val="005876B4"/>
    <w:rsid w:val="00590F7F"/>
    <w:rsid w:val="00591264"/>
    <w:rsid w:val="005915D6"/>
    <w:rsid w:val="00594154"/>
    <w:rsid w:val="00594FEA"/>
    <w:rsid w:val="005A0016"/>
    <w:rsid w:val="005A233C"/>
    <w:rsid w:val="005A40E2"/>
    <w:rsid w:val="005A6949"/>
    <w:rsid w:val="005A71BE"/>
    <w:rsid w:val="005B0897"/>
    <w:rsid w:val="005B6F5E"/>
    <w:rsid w:val="005B7A43"/>
    <w:rsid w:val="005C1640"/>
    <w:rsid w:val="005C32CE"/>
    <w:rsid w:val="005C4462"/>
    <w:rsid w:val="005C6558"/>
    <w:rsid w:val="005D138F"/>
    <w:rsid w:val="005D2152"/>
    <w:rsid w:val="005D59E3"/>
    <w:rsid w:val="005D7BB8"/>
    <w:rsid w:val="005E144B"/>
    <w:rsid w:val="005E3E1B"/>
    <w:rsid w:val="005E5275"/>
    <w:rsid w:val="005E5657"/>
    <w:rsid w:val="005F4A01"/>
    <w:rsid w:val="005F676E"/>
    <w:rsid w:val="0060495B"/>
    <w:rsid w:val="0060648F"/>
    <w:rsid w:val="00607CE7"/>
    <w:rsid w:val="00611BD1"/>
    <w:rsid w:val="00611FF2"/>
    <w:rsid w:val="00614EBA"/>
    <w:rsid w:val="00617830"/>
    <w:rsid w:val="00620AC1"/>
    <w:rsid w:val="0062376B"/>
    <w:rsid w:val="00623D03"/>
    <w:rsid w:val="006256BA"/>
    <w:rsid w:val="00626D82"/>
    <w:rsid w:val="00627DEB"/>
    <w:rsid w:val="00630189"/>
    <w:rsid w:val="0063353E"/>
    <w:rsid w:val="00633BB1"/>
    <w:rsid w:val="006346B1"/>
    <w:rsid w:val="00635467"/>
    <w:rsid w:val="006371DF"/>
    <w:rsid w:val="0064079E"/>
    <w:rsid w:val="006410EE"/>
    <w:rsid w:val="006418A9"/>
    <w:rsid w:val="0064259C"/>
    <w:rsid w:val="00643C0A"/>
    <w:rsid w:val="006443E0"/>
    <w:rsid w:val="00645824"/>
    <w:rsid w:val="00653303"/>
    <w:rsid w:val="0065458A"/>
    <w:rsid w:val="006552B0"/>
    <w:rsid w:val="006563E1"/>
    <w:rsid w:val="00662081"/>
    <w:rsid w:val="00663236"/>
    <w:rsid w:val="00664306"/>
    <w:rsid w:val="0066698E"/>
    <w:rsid w:val="006675D3"/>
    <w:rsid w:val="006765E6"/>
    <w:rsid w:val="006770D1"/>
    <w:rsid w:val="006840D5"/>
    <w:rsid w:val="00685E4B"/>
    <w:rsid w:val="00685E59"/>
    <w:rsid w:val="00693BDB"/>
    <w:rsid w:val="00694EA2"/>
    <w:rsid w:val="006A276C"/>
    <w:rsid w:val="006A54A2"/>
    <w:rsid w:val="006B3E3D"/>
    <w:rsid w:val="006C2B52"/>
    <w:rsid w:val="006C3791"/>
    <w:rsid w:val="006D1A5B"/>
    <w:rsid w:val="006D3318"/>
    <w:rsid w:val="006D35A0"/>
    <w:rsid w:val="006D4702"/>
    <w:rsid w:val="006D7D8F"/>
    <w:rsid w:val="006E4465"/>
    <w:rsid w:val="006E486F"/>
    <w:rsid w:val="006E4B87"/>
    <w:rsid w:val="006F35B2"/>
    <w:rsid w:val="006F47C9"/>
    <w:rsid w:val="007003BE"/>
    <w:rsid w:val="00700C9C"/>
    <w:rsid w:val="007021AC"/>
    <w:rsid w:val="007027D8"/>
    <w:rsid w:val="00702ACD"/>
    <w:rsid w:val="00702D8C"/>
    <w:rsid w:val="007060A1"/>
    <w:rsid w:val="007101E0"/>
    <w:rsid w:val="00713602"/>
    <w:rsid w:val="0071720D"/>
    <w:rsid w:val="00722561"/>
    <w:rsid w:val="007247A7"/>
    <w:rsid w:val="00726E54"/>
    <w:rsid w:val="007308BF"/>
    <w:rsid w:val="00732955"/>
    <w:rsid w:val="00736BBB"/>
    <w:rsid w:val="0074170D"/>
    <w:rsid w:val="00747B40"/>
    <w:rsid w:val="00750BA0"/>
    <w:rsid w:val="007518E4"/>
    <w:rsid w:val="00751B05"/>
    <w:rsid w:val="0075209D"/>
    <w:rsid w:val="007530C6"/>
    <w:rsid w:val="00757051"/>
    <w:rsid w:val="00762D3E"/>
    <w:rsid w:val="00762D7A"/>
    <w:rsid w:val="00766036"/>
    <w:rsid w:val="00766CAB"/>
    <w:rsid w:val="00766F43"/>
    <w:rsid w:val="00770AA0"/>
    <w:rsid w:val="00770B5E"/>
    <w:rsid w:val="00773D03"/>
    <w:rsid w:val="0077594B"/>
    <w:rsid w:val="007765F1"/>
    <w:rsid w:val="00780461"/>
    <w:rsid w:val="007830B2"/>
    <w:rsid w:val="00786646"/>
    <w:rsid w:val="00787148"/>
    <w:rsid w:val="007916E9"/>
    <w:rsid w:val="0079173B"/>
    <w:rsid w:val="00791998"/>
    <w:rsid w:val="00791F85"/>
    <w:rsid w:val="00793F97"/>
    <w:rsid w:val="007959CC"/>
    <w:rsid w:val="00796361"/>
    <w:rsid w:val="007A0BF3"/>
    <w:rsid w:val="007B29CA"/>
    <w:rsid w:val="007B471B"/>
    <w:rsid w:val="007B4A9A"/>
    <w:rsid w:val="007B69BE"/>
    <w:rsid w:val="007B7260"/>
    <w:rsid w:val="007C2F39"/>
    <w:rsid w:val="007C2FA2"/>
    <w:rsid w:val="007C3505"/>
    <w:rsid w:val="007C59DA"/>
    <w:rsid w:val="007D31A1"/>
    <w:rsid w:val="007D7C75"/>
    <w:rsid w:val="007E0234"/>
    <w:rsid w:val="007E0338"/>
    <w:rsid w:val="007E3059"/>
    <w:rsid w:val="007E3885"/>
    <w:rsid w:val="007E6357"/>
    <w:rsid w:val="007F0210"/>
    <w:rsid w:val="007F28D1"/>
    <w:rsid w:val="007F4E82"/>
    <w:rsid w:val="007F608E"/>
    <w:rsid w:val="00801A35"/>
    <w:rsid w:val="00802B5D"/>
    <w:rsid w:val="00803137"/>
    <w:rsid w:val="00811363"/>
    <w:rsid w:val="008172DA"/>
    <w:rsid w:val="00821CBD"/>
    <w:rsid w:val="00823F4A"/>
    <w:rsid w:val="00826D75"/>
    <w:rsid w:val="0082795F"/>
    <w:rsid w:val="00827969"/>
    <w:rsid w:val="00830BAF"/>
    <w:rsid w:val="00831E66"/>
    <w:rsid w:val="00832829"/>
    <w:rsid w:val="00832CB6"/>
    <w:rsid w:val="00834E32"/>
    <w:rsid w:val="00835AEF"/>
    <w:rsid w:val="0083679B"/>
    <w:rsid w:val="00836AF9"/>
    <w:rsid w:val="00840296"/>
    <w:rsid w:val="008432E1"/>
    <w:rsid w:val="008454B0"/>
    <w:rsid w:val="008527E3"/>
    <w:rsid w:val="0085420A"/>
    <w:rsid w:val="008556DA"/>
    <w:rsid w:val="00856CD5"/>
    <w:rsid w:val="00857287"/>
    <w:rsid w:val="008617A6"/>
    <w:rsid w:val="008619EA"/>
    <w:rsid w:val="00867D0D"/>
    <w:rsid w:val="008775B0"/>
    <w:rsid w:val="00877FA2"/>
    <w:rsid w:val="0088284F"/>
    <w:rsid w:val="0089079B"/>
    <w:rsid w:val="00892EB7"/>
    <w:rsid w:val="008950FD"/>
    <w:rsid w:val="00895AD8"/>
    <w:rsid w:val="008A01F4"/>
    <w:rsid w:val="008A0FE3"/>
    <w:rsid w:val="008A1973"/>
    <w:rsid w:val="008A1F80"/>
    <w:rsid w:val="008A2B4B"/>
    <w:rsid w:val="008A3DC6"/>
    <w:rsid w:val="008A466C"/>
    <w:rsid w:val="008A58BE"/>
    <w:rsid w:val="008A7994"/>
    <w:rsid w:val="008B5DB3"/>
    <w:rsid w:val="008C0F78"/>
    <w:rsid w:val="008C7AB7"/>
    <w:rsid w:val="008D22C7"/>
    <w:rsid w:val="008D377B"/>
    <w:rsid w:val="008D48AE"/>
    <w:rsid w:val="008D5F39"/>
    <w:rsid w:val="008D6BA7"/>
    <w:rsid w:val="008E0691"/>
    <w:rsid w:val="008E1C8B"/>
    <w:rsid w:val="008E278F"/>
    <w:rsid w:val="008E2FB5"/>
    <w:rsid w:val="008E5C86"/>
    <w:rsid w:val="008E6385"/>
    <w:rsid w:val="008E7F91"/>
    <w:rsid w:val="008F21A7"/>
    <w:rsid w:val="008F6F3B"/>
    <w:rsid w:val="009001C2"/>
    <w:rsid w:val="009022C2"/>
    <w:rsid w:val="00903085"/>
    <w:rsid w:val="00903D7F"/>
    <w:rsid w:val="009046B8"/>
    <w:rsid w:val="00907851"/>
    <w:rsid w:val="009112B1"/>
    <w:rsid w:val="0091254D"/>
    <w:rsid w:val="009146CA"/>
    <w:rsid w:val="00915566"/>
    <w:rsid w:val="009200E5"/>
    <w:rsid w:val="009209BE"/>
    <w:rsid w:val="0092297D"/>
    <w:rsid w:val="00927E90"/>
    <w:rsid w:val="0093061A"/>
    <w:rsid w:val="00931148"/>
    <w:rsid w:val="00943BEE"/>
    <w:rsid w:val="009521CD"/>
    <w:rsid w:val="00955D8C"/>
    <w:rsid w:val="0096141A"/>
    <w:rsid w:val="009637B5"/>
    <w:rsid w:val="00967B19"/>
    <w:rsid w:val="00970363"/>
    <w:rsid w:val="00973C84"/>
    <w:rsid w:val="0097664C"/>
    <w:rsid w:val="00987AF8"/>
    <w:rsid w:val="009924AC"/>
    <w:rsid w:val="00992545"/>
    <w:rsid w:val="00995130"/>
    <w:rsid w:val="009A0A38"/>
    <w:rsid w:val="009A58AF"/>
    <w:rsid w:val="009A7198"/>
    <w:rsid w:val="009B3C14"/>
    <w:rsid w:val="009B454D"/>
    <w:rsid w:val="009B48FD"/>
    <w:rsid w:val="009B5440"/>
    <w:rsid w:val="009B7D7A"/>
    <w:rsid w:val="009C0797"/>
    <w:rsid w:val="009C1A67"/>
    <w:rsid w:val="009C5DB5"/>
    <w:rsid w:val="009C6DD5"/>
    <w:rsid w:val="009D44A0"/>
    <w:rsid w:val="009D4BFD"/>
    <w:rsid w:val="009D6B5C"/>
    <w:rsid w:val="009E07C2"/>
    <w:rsid w:val="009E1FE9"/>
    <w:rsid w:val="009E22D6"/>
    <w:rsid w:val="009F0031"/>
    <w:rsid w:val="009F64D6"/>
    <w:rsid w:val="00A00B41"/>
    <w:rsid w:val="00A01061"/>
    <w:rsid w:val="00A02B5C"/>
    <w:rsid w:val="00A04CFB"/>
    <w:rsid w:val="00A04FA0"/>
    <w:rsid w:val="00A07A66"/>
    <w:rsid w:val="00A10A8D"/>
    <w:rsid w:val="00A170BB"/>
    <w:rsid w:val="00A33E7E"/>
    <w:rsid w:val="00A35C8F"/>
    <w:rsid w:val="00A4219B"/>
    <w:rsid w:val="00A43CF0"/>
    <w:rsid w:val="00A45222"/>
    <w:rsid w:val="00A475E6"/>
    <w:rsid w:val="00A51035"/>
    <w:rsid w:val="00A56E22"/>
    <w:rsid w:val="00A60124"/>
    <w:rsid w:val="00A60FCC"/>
    <w:rsid w:val="00A620F9"/>
    <w:rsid w:val="00A645FF"/>
    <w:rsid w:val="00A65BAC"/>
    <w:rsid w:val="00A66EE4"/>
    <w:rsid w:val="00A66F63"/>
    <w:rsid w:val="00A70164"/>
    <w:rsid w:val="00A70852"/>
    <w:rsid w:val="00A735B8"/>
    <w:rsid w:val="00A7423A"/>
    <w:rsid w:val="00A744E5"/>
    <w:rsid w:val="00A745F6"/>
    <w:rsid w:val="00A74E0F"/>
    <w:rsid w:val="00A7554D"/>
    <w:rsid w:val="00A767F2"/>
    <w:rsid w:val="00A77F25"/>
    <w:rsid w:val="00A856B4"/>
    <w:rsid w:val="00A8571C"/>
    <w:rsid w:val="00A86445"/>
    <w:rsid w:val="00A86AAC"/>
    <w:rsid w:val="00A91F51"/>
    <w:rsid w:val="00A928AD"/>
    <w:rsid w:val="00A968E0"/>
    <w:rsid w:val="00AA5511"/>
    <w:rsid w:val="00AA5CAD"/>
    <w:rsid w:val="00AA60A8"/>
    <w:rsid w:val="00AB34D5"/>
    <w:rsid w:val="00AB4C48"/>
    <w:rsid w:val="00AB65EA"/>
    <w:rsid w:val="00AB7864"/>
    <w:rsid w:val="00AB7E12"/>
    <w:rsid w:val="00AC0476"/>
    <w:rsid w:val="00AC2928"/>
    <w:rsid w:val="00AC2FE8"/>
    <w:rsid w:val="00AC5234"/>
    <w:rsid w:val="00AC5BC3"/>
    <w:rsid w:val="00AC7679"/>
    <w:rsid w:val="00AC79BC"/>
    <w:rsid w:val="00AD083D"/>
    <w:rsid w:val="00AD0ACC"/>
    <w:rsid w:val="00AD3514"/>
    <w:rsid w:val="00AD4D9E"/>
    <w:rsid w:val="00AE3453"/>
    <w:rsid w:val="00AE39F2"/>
    <w:rsid w:val="00AE48EB"/>
    <w:rsid w:val="00AE53E4"/>
    <w:rsid w:val="00AF2234"/>
    <w:rsid w:val="00AF3ADC"/>
    <w:rsid w:val="00AF511A"/>
    <w:rsid w:val="00AF6BA5"/>
    <w:rsid w:val="00B008DA"/>
    <w:rsid w:val="00B01EF1"/>
    <w:rsid w:val="00B02726"/>
    <w:rsid w:val="00B06D9C"/>
    <w:rsid w:val="00B136F1"/>
    <w:rsid w:val="00B2218A"/>
    <w:rsid w:val="00B24224"/>
    <w:rsid w:val="00B255BE"/>
    <w:rsid w:val="00B26CC9"/>
    <w:rsid w:val="00B272CD"/>
    <w:rsid w:val="00B3228B"/>
    <w:rsid w:val="00B335E8"/>
    <w:rsid w:val="00B36180"/>
    <w:rsid w:val="00B371B8"/>
    <w:rsid w:val="00B41D4B"/>
    <w:rsid w:val="00B47A09"/>
    <w:rsid w:val="00B510C0"/>
    <w:rsid w:val="00B51AC1"/>
    <w:rsid w:val="00B53AB0"/>
    <w:rsid w:val="00B55014"/>
    <w:rsid w:val="00B55365"/>
    <w:rsid w:val="00B564A6"/>
    <w:rsid w:val="00B56D56"/>
    <w:rsid w:val="00B56FF3"/>
    <w:rsid w:val="00B57174"/>
    <w:rsid w:val="00B62F6B"/>
    <w:rsid w:val="00B642AA"/>
    <w:rsid w:val="00B66296"/>
    <w:rsid w:val="00B662BE"/>
    <w:rsid w:val="00B67AE5"/>
    <w:rsid w:val="00B70E0F"/>
    <w:rsid w:val="00B7175D"/>
    <w:rsid w:val="00B71B55"/>
    <w:rsid w:val="00B75B15"/>
    <w:rsid w:val="00B75BE1"/>
    <w:rsid w:val="00B81312"/>
    <w:rsid w:val="00B86DBD"/>
    <w:rsid w:val="00B920DE"/>
    <w:rsid w:val="00B92E83"/>
    <w:rsid w:val="00B93FB9"/>
    <w:rsid w:val="00B94955"/>
    <w:rsid w:val="00B9584F"/>
    <w:rsid w:val="00B96338"/>
    <w:rsid w:val="00BA2DB7"/>
    <w:rsid w:val="00BA56D7"/>
    <w:rsid w:val="00BB0BA1"/>
    <w:rsid w:val="00BB1BC8"/>
    <w:rsid w:val="00BB5E6B"/>
    <w:rsid w:val="00BC014E"/>
    <w:rsid w:val="00BC196F"/>
    <w:rsid w:val="00BC1E1F"/>
    <w:rsid w:val="00BC2A02"/>
    <w:rsid w:val="00BC2E24"/>
    <w:rsid w:val="00BC3AAF"/>
    <w:rsid w:val="00BC3B05"/>
    <w:rsid w:val="00BC474F"/>
    <w:rsid w:val="00BC50FD"/>
    <w:rsid w:val="00BD0102"/>
    <w:rsid w:val="00BD093A"/>
    <w:rsid w:val="00BD5A0E"/>
    <w:rsid w:val="00BE1156"/>
    <w:rsid w:val="00BE24E5"/>
    <w:rsid w:val="00BE4994"/>
    <w:rsid w:val="00BE4C26"/>
    <w:rsid w:val="00BE4EC9"/>
    <w:rsid w:val="00BE5C15"/>
    <w:rsid w:val="00BE6B08"/>
    <w:rsid w:val="00BF04B0"/>
    <w:rsid w:val="00BF3491"/>
    <w:rsid w:val="00BF5EBA"/>
    <w:rsid w:val="00BF7A10"/>
    <w:rsid w:val="00C11225"/>
    <w:rsid w:val="00C122F2"/>
    <w:rsid w:val="00C20655"/>
    <w:rsid w:val="00C24012"/>
    <w:rsid w:val="00C2762A"/>
    <w:rsid w:val="00C30A57"/>
    <w:rsid w:val="00C30B76"/>
    <w:rsid w:val="00C334B9"/>
    <w:rsid w:val="00C35A45"/>
    <w:rsid w:val="00C36BF2"/>
    <w:rsid w:val="00C42012"/>
    <w:rsid w:val="00C4368D"/>
    <w:rsid w:val="00C44FF7"/>
    <w:rsid w:val="00C45E64"/>
    <w:rsid w:val="00C45FFA"/>
    <w:rsid w:val="00C46DEC"/>
    <w:rsid w:val="00C500C0"/>
    <w:rsid w:val="00C52818"/>
    <w:rsid w:val="00C571B8"/>
    <w:rsid w:val="00C60FC6"/>
    <w:rsid w:val="00C64948"/>
    <w:rsid w:val="00C6501A"/>
    <w:rsid w:val="00C663B8"/>
    <w:rsid w:val="00C670F7"/>
    <w:rsid w:val="00C71246"/>
    <w:rsid w:val="00C72D6C"/>
    <w:rsid w:val="00C75D65"/>
    <w:rsid w:val="00C8491B"/>
    <w:rsid w:val="00C8718C"/>
    <w:rsid w:val="00C873AE"/>
    <w:rsid w:val="00C90B0C"/>
    <w:rsid w:val="00C90D3D"/>
    <w:rsid w:val="00C91EE9"/>
    <w:rsid w:val="00C96946"/>
    <w:rsid w:val="00C97C36"/>
    <w:rsid w:val="00CA0A94"/>
    <w:rsid w:val="00CA2C50"/>
    <w:rsid w:val="00CA3D13"/>
    <w:rsid w:val="00CA4543"/>
    <w:rsid w:val="00CA4AA3"/>
    <w:rsid w:val="00CA6466"/>
    <w:rsid w:val="00CB4B80"/>
    <w:rsid w:val="00CB756E"/>
    <w:rsid w:val="00CC09F2"/>
    <w:rsid w:val="00CC0C41"/>
    <w:rsid w:val="00CC62C9"/>
    <w:rsid w:val="00CD25D9"/>
    <w:rsid w:val="00CD4A1A"/>
    <w:rsid w:val="00CD63D2"/>
    <w:rsid w:val="00CD6F63"/>
    <w:rsid w:val="00CD73A8"/>
    <w:rsid w:val="00CE1363"/>
    <w:rsid w:val="00CE2A6A"/>
    <w:rsid w:val="00CE36C6"/>
    <w:rsid w:val="00CE37D0"/>
    <w:rsid w:val="00CF045F"/>
    <w:rsid w:val="00CF20A8"/>
    <w:rsid w:val="00CF70BD"/>
    <w:rsid w:val="00D008E5"/>
    <w:rsid w:val="00D021A6"/>
    <w:rsid w:val="00D03965"/>
    <w:rsid w:val="00D071C3"/>
    <w:rsid w:val="00D10610"/>
    <w:rsid w:val="00D10F4F"/>
    <w:rsid w:val="00D1294F"/>
    <w:rsid w:val="00D1742F"/>
    <w:rsid w:val="00D21BCF"/>
    <w:rsid w:val="00D237BD"/>
    <w:rsid w:val="00D26C2B"/>
    <w:rsid w:val="00D26C9B"/>
    <w:rsid w:val="00D44C8D"/>
    <w:rsid w:val="00D44D11"/>
    <w:rsid w:val="00D55805"/>
    <w:rsid w:val="00D55D22"/>
    <w:rsid w:val="00D6104E"/>
    <w:rsid w:val="00D613A4"/>
    <w:rsid w:val="00D61E99"/>
    <w:rsid w:val="00D61F82"/>
    <w:rsid w:val="00D67C0E"/>
    <w:rsid w:val="00D727C9"/>
    <w:rsid w:val="00D83CE0"/>
    <w:rsid w:val="00D85D0D"/>
    <w:rsid w:val="00D87563"/>
    <w:rsid w:val="00D93226"/>
    <w:rsid w:val="00D94E59"/>
    <w:rsid w:val="00D952A0"/>
    <w:rsid w:val="00D96B7D"/>
    <w:rsid w:val="00DA08EF"/>
    <w:rsid w:val="00DA2A0C"/>
    <w:rsid w:val="00DA38ED"/>
    <w:rsid w:val="00DA3974"/>
    <w:rsid w:val="00DB1743"/>
    <w:rsid w:val="00DB6EB3"/>
    <w:rsid w:val="00DB76AF"/>
    <w:rsid w:val="00DC0900"/>
    <w:rsid w:val="00DC1969"/>
    <w:rsid w:val="00DC1D02"/>
    <w:rsid w:val="00DC2ED9"/>
    <w:rsid w:val="00DC4120"/>
    <w:rsid w:val="00DC62F6"/>
    <w:rsid w:val="00DC65F9"/>
    <w:rsid w:val="00DC6F96"/>
    <w:rsid w:val="00DD2B6B"/>
    <w:rsid w:val="00DD59E6"/>
    <w:rsid w:val="00DD60CB"/>
    <w:rsid w:val="00DD7A03"/>
    <w:rsid w:val="00DE10D0"/>
    <w:rsid w:val="00DE2051"/>
    <w:rsid w:val="00DE5D89"/>
    <w:rsid w:val="00DF13AA"/>
    <w:rsid w:val="00DF3769"/>
    <w:rsid w:val="00DF45EB"/>
    <w:rsid w:val="00DF4C35"/>
    <w:rsid w:val="00DF5EBF"/>
    <w:rsid w:val="00E013AE"/>
    <w:rsid w:val="00E01A7A"/>
    <w:rsid w:val="00E032D5"/>
    <w:rsid w:val="00E079D9"/>
    <w:rsid w:val="00E126FD"/>
    <w:rsid w:val="00E154F9"/>
    <w:rsid w:val="00E201A4"/>
    <w:rsid w:val="00E22911"/>
    <w:rsid w:val="00E31DB4"/>
    <w:rsid w:val="00E334AD"/>
    <w:rsid w:val="00E35C77"/>
    <w:rsid w:val="00E41E1C"/>
    <w:rsid w:val="00E424A3"/>
    <w:rsid w:val="00E563A6"/>
    <w:rsid w:val="00E5649F"/>
    <w:rsid w:val="00E65678"/>
    <w:rsid w:val="00E67FE7"/>
    <w:rsid w:val="00E70ADE"/>
    <w:rsid w:val="00E75A4A"/>
    <w:rsid w:val="00E76204"/>
    <w:rsid w:val="00E76951"/>
    <w:rsid w:val="00E8059B"/>
    <w:rsid w:val="00E8084C"/>
    <w:rsid w:val="00E81BDB"/>
    <w:rsid w:val="00E83AF7"/>
    <w:rsid w:val="00E842B5"/>
    <w:rsid w:val="00E87DBD"/>
    <w:rsid w:val="00EA1EA4"/>
    <w:rsid w:val="00EA533F"/>
    <w:rsid w:val="00EB1309"/>
    <w:rsid w:val="00EB2698"/>
    <w:rsid w:val="00EB3A01"/>
    <w:rsid w:val="00EB4777"/>
    <w:rsid w:val="00EB4DD1"/>
    <w:rsid w:val="00EC0914"/>
    <w:rsid w:val="00EC0B27"/>
    <w:rsid w:val="00EC3B09"/>
    <w:rsid w:val="00ED3BE1"/>
    <w:rsid w:val="00ED78AB"/>
    <w:rsid w:val="00EE15F2"/>
    <w:rsid w:val="00EE3216"/>
    <w:rsid w:val="00EE427A"/>
    <w:rsid w:val="00EE5009"/>
    <w:rsid w:val="00EE578B"/>
    <w:rsid w:val="00F0025C"/>
    <w:rsid w:val="00F00653"/>
    <w:rsid w:val="00F06F65"/>
    <w:rsid w:val="00F07011"/>
    <w:rsid w:val="00F116E9"/>
    <w:rsid w:val="00F12873"/>
    <w:rsid w:val="00F138FA"/>
    <w:rsid w:val="00F14869"/>
    <w:rsid w:val="00F22E30"/>
    <w:rsid w:val="00F24E17"/>
    <w:rsid w:val="00F3115D"/>
    <w:rsid w:val="00F326A4"/>
    <w:rsid w:val="00F370ED"/>
    <w:rsid w:val="00F37FD5"/>
    <w:rsid w:val="00F428EE"/>
    <w:rsid w:val="00F430AA"/>
    <w:rsid w:val="00F5017E"/>
    <w:rsid w:val="00F54941"/>
    <w:rsid w:val="00F571EE"/>
    <w:rsid w:val="00F64195"/>
    <w:rsid w:val="00F64E2C"/>
    <w:rsid w:val="00F711FC"/>
    <w:rsid w:val="00F75FE0"/>
    <w:rsid w:val="00F76F27"/>
    <w:rsid w:val="00F80011"/>
    <w:rsid w:val="00F80427"/>
    <w:rsid w:val="00F836FF"/>
    <w:rsid w:val="00F94C03"/>
    <w:rsid w:val="00FA00CA"/>
    <w:rsid w:val="00FA31BE"/>
    <w:rsid w:val="00FB0C55"/>
    <w:rsid w:val="00FB12B5"/>
    <w:rsid w:val="00FB26F3"/>
    <w:rsid w:val="00FB3306"/>
    <w:rsid w:val="00FB44B8"/>
    <w:rsid w:val="00FB4F6A"/>
    <w:rsid w:val="00FC1C89"/>
    <w:rsid w:val="00FC4B7E"/>
    <w:rsid w:val="00FD578A"/>
    <w:rsid w:val="00FD6D2F"/>
    <w:rsid w:val="00FD6F41"/>
    <w:rsid w:val="00FD74A1"/>
    <w:rsid w:val="00FE0A58"/>
    <w:rsid w:val="00FF2290"/>
    <w:rsid w:val="00FF3C2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806FA"/>
  <w15:chartTrackingRefBased/>
  <w15:docId w15:val="{3E2EFDD5-F946-4B2D-9B0F-8F31BA0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4B"/>
    <w:pPr>
      <w:ind w:left="720"/>
      <w:contextualSpacing/>
    </w:pPr>
  </w:style>
  <w:style w:type="paragraph" w:customStyle="1" w:styleId="Default">
    <w:name w:val="Default"/>
    <w:rsid w:val="00C670F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9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E6"/>
  </w:style>
  <w:style w:type="paragraph" w:styleId="Footer">
    <w:name w:val="footer"/>
    <w:basedOn w:val="Normal"/>
    <w:link w:val="FooterChar"/>
    <w:uiPriority w:val="99"/>
    <w:unhideWhenUsed/>
    <w:rsid w:val="00DD59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E6"/>
  </w:style>
  <w:style w:type="character" w:styleId="Hyperlink">
    <w:name w:val="Hyperlink"/>
    <w:basedOn w:val="DefaultParagraphFont"/>
    <w:uiPriority w:val="99"/>
    <w:unhideWhenUsed/>
    <w:rsid w:val="00CE2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9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136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7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noteText">
    <w:name w:val="footnote text"/>
    <w:aliases w:val="Footnote Text Char Char,Footnote Text Char1,Fußnotentext Char Char Char,Fußnotentext Char Char Char Char Char,Fußnotentext Char1 Char Char Char,Fußnotentext Char1 Char Char Char Char Char"/>
    <w:basedOn w:val="Normal"/>
    <w:link w:val="FootnoteTextChar"/>
    <w:uiPriority w:val="99"/>
    <w:unhideWhenUsed/>
    <w:rsid w:val="007518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ootnote Text Char1 Char,Fußnotentext Char Char Char Char,Fußnotentext Char Char Char Char Char Char,Fußnotentext Char1 Char Char Char Char,Fußnotentext Char1 Char Char Char Char Char Char"/>
    <w:basedOn w:val="DefaultParagraphFont"/>
    <w:link w:val="FootnoteText"/>
    <w:uiPriority w:val="99"/>
    <w:rsid w:val="00751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8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A9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63A6"/>
    <w:rPr>
      <w:b/>
      <w:bCs/>
    </w:rPr>
  </w:style>
  <w:style w:type="table" w:styleId="TableGrid">
    <w:name w:val="Table Grid"/>
    <w:basedOn w:val="TableNormal"/>
    <w:uiPriority w:val="39"/>
    <w:rsid w:val="00A0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9016">
          <w:marLeft w:val="418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0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0701D5B44C04A946E58CBA411C7E5" ma:contentTypeVersion="4" ma:contentTypeDescription="Create a new document." ma:contentTypeScope="" ma:versionID="b0de1abb53f515eb88cf31843671d110">
  <xsd:schema xmlns:xsd="http://www.w3.org/2001/XMLSchema" xmlns:xs="http://www.w3.org/2001/XMLSchema" xmlns:p="http://schemas.microsoft.com/office/2006/metadata/properties" xmlns:ns2="9929d73c-ba0c-49a2-b4d5-e002d2a7a878" targetNamespace="http://schemas.microsoft.com/office/2006/metadata/properties" ma:root="true" ma:fieldsID="a155eeddff8e9053c141bef96b886d5d" ns2:_="">
    <xsd:import namespace="9929d73c-ba0c-49a2-b4d5-e002d2a7a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9d73c-ba0c-49a2-b4d5-e002d2a7a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6C5F-F735-41E9-AB56-96C2E332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9d73c-ba0c-49a2-b4d5-e002d2a7a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507EB-7C61-463B-81FF-F9547CBD6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6CD02-A38C-4C4A-BDFB-5E0EAECE5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16283-CF79-475A-8DD3-7785986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15675</Characters>
  <Application>Microsoft Office Word</Application>
  <DocSecurity>4</DocSecurity>
  <Lines>130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Porta</dc:creator>
  <cp:keywords>Internal</cp:keywords>
  <dc:description/>
  <cp:lastModifiedBy>Student Marketing</cp:lastModifiedBy>
  <cp:revision>2</cp:revision>
  <cp:lastPrinted>2020-03-19T11:54:00Z</cp:lastPrinted>
  <dcterms:created xsi:type="dcterms:W3CDTF">2021-07-05T12:33:00Z</dcterms:created>
  <dcterms:modified xsi:type="dcterms:W3CDTF">2021-07-05T12:33:00Z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5f45a21b-b5f9-417b-8eb1-fbffa7527c66</vt:lpwstr>
  </property>
  <property fmtid="{D5CDD505-2E9C-101B-9397-08002B2CF9AE}" pid="3" name="Classification">
    <vt:lpwstr>Internal</vt:lpwstr>
  </property>
  <property fmtid="{D5CDD505-2E9C-101B-9397-08002B2CF9AE}" pid="4" name="MSIP_Label_299f3599-4f64-477a-ad9b-73f9ee7e19dd_Enabled">
    <vt:lpwstr>True</vt:lpwstr>
  </property>
  <property fmtid="{D5CDD505-2E9C-101B-9397-08002B2CF9AE}" pid="5" name="MSIP_Label_299f3599-4f64-477a-ad9b-73f9ee7e19dd_SiteId">
    <vt:lpwstr>cbeb3ecc-6f45-4183-b5a8-088140deae5d</vt:lpwstr>
  </property>
  <property fmtid="{D5CDD505-2E9C-101B-9397-08002B2CF9AE}" pid="6" name="MSIP_Label_299f3599-4f64-477a-ad9b-73f9ee7e19dd_Owner">
    <vt:lpwstr>porta3@corp.generali.net</vt:lpwstr>
  </property>
  <property fmtid="{D5CDD505-2E9C-101B-9397-08002B2CF9AE}" pid="7" name="MSIP_Label_299f3599-4f64-477a-ad9b-73f9ee7e19dd_SetDate">
    <vt:lpwstr>2020-02-28T17:13:31.5574430Z</vt:lpwstr>
  </property>
  <property fmtid="{D5CDD505-2E9C-101B-9397-08002B2CF9AE}" pid="8" name="MSIP_Label_299f3599-4f64-477a-ad9b-73f9ee7e19dd_Name">
    <vt:lpwstr>Public</vt:lpwstr>
  </property>
  <property fmtid="{D5CDD505-2E9C-101B-9397-08002B2CF9AE}" pid="9" name="MSIP_Label_299f3599-4f64-477a-ad9b-73f9ee7e19dd_Application">
    <vt:lpwstr>Microsoft Azure Information Protection</vt:lpwstr>
  </property>
  <property fmtid="{D5CDD505-2E9C-101B-9397-08002B2CF9AE}" pid="10" name="MSIP_Label_299f3599-4f64-477a-ad9b-73f9ee7e19dd_ActionId">
    <vt:lpwstr>b9d0b0e0-e849-479a-b1dd-b45451880e4d</vt:lpwstr>
  </property>
  <property fmtid="{D5CDD505-2E9C-101B-9397-08002B2CF9AE}" pid="11" name="MSIP_Label_299f3599-4f64-477a-ad9b-73f9ee7e19dd_Extended_MSFT_Method">
    <vt:lpwstr>Manual</vt:lpwstr>
  </property>
  <property fmtid="{D5CDD505-2E9C-101B-9397-08002B2CF9AE}" pid="12" name="ContentTypeId">
    <vt:lpwstr>0x0101004EF0701D5B44C04A946E58CBA411C7E5</vt:lpwstr>
  </property>
</Properties>
</file>